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-19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15"/>
      </w:tblGrid>
      <w:tr>
        <w:trPr>
          <w:trHeight w:val="6804" w:hRule="atLeast"/>
        </w:trPr>
        <w:tc>
          <w:tcPr>
            <w:tcW w:w="9915" w:type="dxa"/>
            <w:tcBorders/>
            <w:shd w:fill="auto" w:val="clear"/>
          </w:tcPr>
          <w:tbl>
            <w:tblPr>
              <w:tblW w:w="4605" w:type="dxa"/>
              <w:jc w:val="left"/>
              <w:tblInd w:w="522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605"/>
            </w:tblGrid>
            <w:tr>
              <w:trPr/>
              <w:tc>
                <w:tcPr>
                  <w:tcW w:w="460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Начальнику управления </w:t>
                  </w:r>
                </w:p>
                <w:p>
                  <w:pPr>
                    <w:pStyle w:val="Normal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архитектуры и градостроительства администрации муниципального образования Курганинский район</w:t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959" w:leader="none"/>
                <w:tab w:val="left" w:pos="2160" w:leader="none"/>
                <w:tab w:val="left" w:pos="2727" w:leader="none"/>
                <w:tab w:val="left" w:pos="4854" w:leader="none"/>
              </w:tabs>
              <w:ind w:left="4570" w:right="0" w:hanging="0"/>
              <w:rPr/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Перкину Е.В.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tbl>
            <w:tblPr>
              <w:tblW w:w="9645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5"/>
            </w:tblGrid>
            <w:tr>
              <w:trPr/>
              <w:tc>
                <w:tcPr>
                  <w:tcW w:w="9645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68" w:hRule="atLeast"/>
              </w:trPr>
              <w:tc>
                <w:tcPr>
                  <w:tcW w:w="9645" w:type="dxa"/>
                  <w:tcBorders/>
                  <w:shd w:fill="auto" w:val="clear"/>
                </w:tcPr>
                <w:p>
                  <w:pPr>
                    <w:pStyle w:val="1"/>
                    <w:shd w:val="clear" w:fill="FFFFFF"/>
                    <w:jc w:val="center"/>
                    <w:rPr/>
                  </w:pPr>
                  <w:r>
                    <w:rPr>
                      <w:rFonts w:ascii="Times New Roman" w:hAnsi="Times New Roman"/>
                      <w:bCs w:val="false"/>
                      <w:kern w:val="0"/>
                      <w:sz w:val="28"/>
                      <w:szCs w:val="28"/>
                    </w:rPr>
                    <w:t xml:space="preserve">Заключение </w:t>
                    <w:br/>
                    <w:t>об оценке регулирующего воздействия</w:t>
                  </w:r>
                </w:p>
                <w:p>
                  <w:pPr>
                    <w:pStyle w:val="1"/>
                    <w:shd w:val="clear" w:fill="FFFFFF"/>
                    <w:jc w:val="center"/>
                    <w:rPr>
                      <w:rFonts w:ascii="Times New Roman" w:hAnsi="Times New Roman"/>
                      <w:bCs w:val="false"/>
                      <w:kern w:val="0"/>
                      <w:sz w:val="28"/>
                      <w:szCs w:val="28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645" w:type="dxa"/>
                  <w:tcBorders/>
                  <w:shd w:fill="auto" w:val="clear"/>
                </w:tcPr>
                <w:tbl>
                  <w:tblPr>
                    <w:tblW w:w="8222" w:type="dxa"/>
                    <w:jc w:val="left"/>
                    <w:tblInd w:w="674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222"/>
                  </w:tblGrid>
                  <w:tr>
                    <w:trPr>
                      <w:trHeight w:val="2895" w:hRule="atLeast"/>
                    </w:trPr>
                    <w:tc>
                      <w:tcPr>
                        <w:tcW w:w="8222" w:type="dxa"/>
                        <w:tcBorders/>
                        <w:shd w:fill="auto" w:val="clear"/>
                      </w:tcPr>
                      <w:p>
                        <w:pPr>
                          <w:pStyle w:val="1"/>
                          <w:shd w:val="clear" w:fill="FFFFFF"/>
                          <w:suppressAutoHyphens w:val="true"/>
                          <w:spacing w:before="280" w:after="0"/>
                          <w:ind w:left="0" w:right="0" w:hanging="0"/>
                          <w:jc w:val="both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ru-RU" w:bidi="ar-SA"/>
                          </w:rPr>
                          <w:t xml:space="preserve">проекта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2"/>
                            <w:highlight w:val="white"/>
                            <w:u w:val="none"/>
                            <w:lang w:val="ru-RU" w:eastAsia="ru-RU" w:bidi="ar-SA"/>
                          </w:rPr>
                          <w:t>постановления администрации муниципального образования Курганинский район «Об утверждении порядка установления причин нарушения законодательства                                 о градостроительной деятельности на территории муниципального образования Курганинский район»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Отдел инвестиций и стратегического развития администрации муниципального образования (далее - МО) Курганинский район как уполномоченный орган по проведению оценки регулирующего воздействия (далее - ОРВ)  проектов муниципальных нормативных правовых актов (далее - НПА) администрации МО Курганинский район, рассмотрел поступивший            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22 января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года   проект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постановления администрации муниципального образования Курганинский район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2"/>
                <w:highlight w:val="white"/>
                <w:u w:val="none"/>
                <w:lang w:val="ru-RU" w:eastAsia="ru-RU" w:bidi="ar-SA"/>
              </w:rPr>
              <w:t>«Об утверждении порядка установления причин нарушения законодательства о градостроительной деятельности            на территории муниципального образования Курганинский район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»,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направленны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й для подготовки настоящего Заключения  управлением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архитектуры и градостроительства администрации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муниципального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образования Курганинский район (далее - разработчик) и сообщает следующее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    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 соответствии с Порядком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проведения оценки регулирующего</w:t>
            </w:r>
            <w:r>
              <w:rPr>
                <w:rStyle w:val="Style12"/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воздействия проектов муниципальных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нормативных правовых актов администрации МО</w:t>
            </w:r>
            <w:r>
              <w:rPr>
                <w:rStyle w:val="Style12"/>
                <w:rFonts w:eastAsia="Times New Roman" w:cs="Times New Roman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Курганинский район, устанавливающих новые или изменяющих ранее предусмотренные муниципальными       нормативными       правовыми     актами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обязательные требования для субъектов  предпринимательской и иной экономической деятельности, обязанности   для   субъектов   инвестиционной  деятельности,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утверждённым постановлением администрации муниципального образования      Курганинский      район       от       6 июля   2022   года                          №    692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«Об   утверждении     Порядка     проведения    оценки   регулирующего  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воздействия         проектов         муниципальных   нормативных правовых   актов   </w:t>
            </w:r>
          </w:p>
        </w:tc>
      </w:tr>
      <w:tr>
        <w:trPr>
          <w:trHeight w:val="13950" w:hRule="atLeast"/>
        </w:trPr>
        <w:tc>
          <w:tcPr>
            <w:tcW w:w="9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муниципального   образования    Курганинский   район,  устанавливающих новые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или  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(далее - Порядок) </w:t>
            </w:r>
            <w:r>
              <w:rPr>
                <w:sz w:val="28"/>
                <w:szCs w:val="28"/>
              </w:rPr>
              <w:t xml:space="preserve">проект подлежит проведению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По   результатам   рассмотрения   установлено, что при подготовке проекта требования Порядка разработчиком соблюдены.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Проект направлен разработчиком для проведения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впервые.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Проведён анализ результатов исследований,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проблемы,               а также эффективности способов решения проблемы в сравнении                                 с действующим на момент проведения процедуры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правовым регулированием рассматриваемой сферы общественных отношений.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Разработчиком предложен один вариант правового регулирования - принятие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проекта постановления администрации муниципального образования Курганинский район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2"/>
                <w:highlight w:val="white"/>
                <w:u w:val="none"/>
                <w:lang w:val="ru-RU" w:eastAsia="ru-RU" w:bidi="ar-SA"/>
              </w:rPr>
              <w:t>«Об утверждении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район»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.</w:t>
            </w:r>
          </w:p>
          <w:p>
            <w:pPr>
              <w:pStyle w:val="ConsPlusNonformat"/>
              <w:spacing w:lineRule="auto" w:line="240"/>
              <w:ind w:left="0" w:right="0" w:firstLine="567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 качестве альтернативы рассмотрен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вариант непринятия муниципального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последствий.  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240"/>
              <w:ind w:left="0" w:right="0" w:firstLine="601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                   в соответствующих разделах сводного отчёта, и установлено следующее: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- проблема, на решение которой направлено правовое регулирование, сформулирована точно;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определены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потенциальные адресаты предполагаемого правового регулирования - физические и юридические лица;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цель предлагаемого правового регулирования разработчиком определена объективно;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практическая реализуемость заявленных целей предполагаемого правового регулирования будет достигнута;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 сроки достижения заявленной цели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2024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год и все последующие,                    в  мониторинге достижения целей не нуждается;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оценка    дополнительных     расходов   и    доходов  потенциальных лиц,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участвующих  в   правоотношениях,    подлежащих    правовому  регулированию,               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и расходов местного бюджета, связанных с  введением   предлагаемого 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firstLine="743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правового регулирования определена корректно;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по мнению разработчика при принятии предлагаемого правового регулирования неблагоприятные последствия не наступят.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Выявленная проблема может быть решена исключительно посредством принятия предлагаемого правового регулирования.</w:t>
            </w:r>
          </w:p>
          <w:p>
            <w:pPr>
              <w:pStyle w:val="Normal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В соответствии с   Порядком установлено следующее:</w:t>
            </w:r>
          </w:p>
          <w:p>
            <w:pPr>
              <w:pStyle w:val="Normal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 Потенциальные    группы    участников    общественных     отношений, интересы  которых    могут   быть   затронуты   правовым регулированием                  в части прав   и   обязанностей    субъектов    предпринимательской                             и инвестиционной деятельнос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ти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физические и юридические лица.</w:t>
            </w:r>
          </w:p>
          <w:p>
            <w:pPr>
              <w:pStyle w:val="1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2.  Проблема, на решение которой направлено правовое регулирование:</w:t>
            </w:r>
          </w:p>
          <w:tbl>
            <w:tblPr>
              <w:tblW w:w="9950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50"/>
            </w:tblGrid>
            <w:tr>
              <w:trPr>
                <w:trHeight w:val="3630" w:hRule="atLeast"/>
              </w:trPr>
              <w:tc>
                <w:tcPr>
                  <w:tcW w:w="9950" w:type="dxa"/>
                  <w:tcBorders/>
                  <w:shd w:fill="auto" w:val="clear"/>
                </w:tcPr>
                <w:p>
                  <w:pPr>
                    <w:pStyle w:val="1"/>
                    <w:shd w:val="clear" w:fill="FFFFFF"/>
                    <w:tabs>
                      <w:tab w:val="clear" w:pos="708"/>
                      <w:tab w:val="left" w:pos="678" w:leader="none"/>
                    </w:tabs>
                    <w:ind w:hanging="0"/>
                    <w:jc w:val="both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/>
                      <w:i w:val="false"/>
                      <w:i w:val="false"/>
                      <w:iCs w:val="false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о</w:t>
                  </w:r>
                  <w:bookmarkStart w:id="0" w:name="__DdeLink__381_1392190069"/>
                  <w:r>
                    <w:rPr>
                      <w:rFonts w:eastAsia="Times New Roman" w:cs="Times New Roman" w:ascii="Times New Roman" w:hAnsi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тсутствие возможности у органов местного самоуправления сельских поселений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район. </w:t>
                  </w:r>
                  <w:bookmarkEnd w:id="0"/>
                </w:p>
                <w:p>
                  <w:pPr>
                    <w:pStyle w:val="Normal"/>
                    <w:shd w:val="clear" w:fill="FFFFFF"/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Указанная проблема может быть решена исключительно посредством принятия предложенного документа.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3. </w:t>
                  </w: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Проект разработан в целях</w:t>
                  </w:r>
                  <w:r>
                    <w:rPr>
                      <w:rStyle w:val="Style17"/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highlight w:val="white"/>
                      <w:u w:val="none"/>
                      <w:lang w:val="ru-RU" w:eastAsia="ru-RU" w:bidi="ar-SA"/>
                    </w:rPr>
                    <w:t xml:space="preserve"> утверждения Положения о технической комиссии по установлению причин нарушения законодательства                                    о градостроительной деятельности, устранения нарушений законодательства                    о градостроительной деятельности;определения лиц, которым причинен вред                    в результате нарушения законодательства о градостроительной деятельности, размеры причиненного вреда;определения лиц, допустивших нарушения законодательства о градостроительной деятельности, и обстоятельств, указывающих на их виновность; определения мероприятий по восстановлению благоприятных условий для жизнедеятельности граждан; анализа установленных причин нарушения законодательства о градостроительной деятельности в целях разработки предложений для принятия мер по предупреждению подобных нарушений и совершенствованию действующих нормативных правовых актов.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Вышеуказанные цели соответствуют принципам правового регулирования, установленным законодательством Российской Федерации и Краснодарского края.</w:t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bookmarkStart w:id="1" w:name="_Hlk1212346144"/>
            <w:bookmarkEnd w:id="1"/>
            <w:r>
              <w:rPr>
                <w:sz w:val="28"/>
                <w:szCs w:val="28"/>
              </w:rPr>
              <w:t>4. Проект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 xml:space="preserve"> муниципального НПА содержит положения, изменяющие ранее предусмотренные муниципальными НПА МО Курганинский район обязательные требования, обязанности и запреты для субъектов предпринимательской                           и инвестиционной деятельности, </w:t>
            </w:r>
            <w:r>
              <w:rPr>
                <w:sz w:val="28"/>
                <w:szCs w:val="28"/>
              </w:rPr>
              <w:t xml:space="preserve">также изменяется содержание и порядок реализации        полномочий           органов       местного   самоуправления                 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МО </w:t>
            </w:r>
            <w:r>
              <w:rPr>
                <w:sz w:val="28"/>
                <w:szCs w:val="28"/>
              </w:rPr>
              <w:t xml:space="preserve">Курганинский      район в   отношениях   с   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субъектами   </w:t>
            </w:r>
            <w:r>
              <w:rPr>
                <w:rFonts w:cs="Times New Roman"/>
                <w:b w:val="false"/>
                <w:i w:val="false"/>
                <w:iCs w:val="false"/>
                <w:sz w:val="28"/>
                <w:szCs w:val="28"/>
              </w:rPr>
              <w:t xml:space="preserve">предпринимательской и иной               экономической                деятельности,               обязанности        для    </w:t>
            </w:r>
            <w:r>
              <w:rPr>
                <w:rFonts w:eastAsia="Times New Roman" w:cs="Times New Roman"/>
                <w:b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субъектов инвестиционной        деятельности.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5. Возможные</w:t>
            </w:r>
            <w:r>
              <w:rPr>
                <w:color w:val="C9211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риски не достижения целей правового регулирования, а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также</w:t>
            </w:r>
            <w:r>
              <w:rPr>
                <w:sz w:val="28"/>
                <w:szCs w:val="28"/>
              </w:rPr>
              <w:t xml:space="preserve">        возможные         негативные       последствия от введения правового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color w:val="00000A"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регулирования   для   экономического     развития  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МО    </w:t>
            </w:r>
            <w:r>
              <w:rPr>
                <w:sz w:val="28"/>
                <w:szCs w:val="28"/>
              </w:rPr>
              <w:t xml:space="preserve"> Курганинский    район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color w:val="00000A"/>
                <w:sz w:val="28"/>
                <w:szCs w:val="28"/>
              </w:rPr>
              <w:t>отсутствуют.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6. </w:t>
            </w:r>
            <w:r>
              <w:rPr>
                <w:rFonts w:cs="Times New Roman"/>
                <w:sz w:val="28"/>
                <w:szCs w:val="28"/>
              </w:rPr>
              <w:t xml:space="preserve">Дополнительные расходы бюджета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rFonts w:cs="Times New Roman"/>
                <w:sz w:val="28"/>
                <w:szCs w:val="28"/>
              </w:rPr>
              <w:t xml:space="preserve"> Курганинский район, а также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расходы субъектов предпринимательской и инвестиционной деятельности,</w:t>
            </w:r>
            <w:r>
              <w:rPr>
                <w:rFonts w:cs="Times New Roman"/>
                <w:sz w:val="28"/>
                <w:szCs w:val="28"/>
              </w:rPr>
              <w:t xml:space="preserve"> понесенные от регулирующего воздействия предлагаемого проекта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НПА </w:t>
            </w:r>
            <w:r>
              <w:rPr>
                <w:rFonts w:cs="Times New Roman"/>
                <w:sz w:val="28"/>
                <w:szCs w:val="28"/>
              </w:rPr>
              <w:t>не предполагаются.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7. В соответствии с Порядком уполномоченный орган провел публичные консультации по проекту в период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с </w:t>
            </w:r>
            <w:r>
              <w:rPr>
                <w:rFonts w:eastAsia="Times New Roman" w:cs="Times New Roman"/>
                <w:sz w:val="28"/>
                <w:szCs w:val="28"/>
              </w:rPr>
              <w:t>22 января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по 2 </w:t>
            </w:r>
            <w:r>
              <w:rPr>
                <w:rFonts w:eastAsia="Times New Roman" w:cs="Times New Roman"/>
                <w:sz w:val="28"/>
                <w:szCs w:val="28"/>
              </w:rPr>
              <w:t>февраля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202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года. 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8. Информация о проводимых публичных консультациях была размещена на официальном сайте администрации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sz w:val="28"/>
                <w:szCs w:val="28"/>
              </w:rPr>
              <w:t xml:space="preserve"> Курганинский район                              </w:t>
            </w:r>
            <w:hyperlink r:id="rId2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 xml:space="preserve">www: </w:t>
              </w:r>
            </w:hyperlink>
            <w:hyperlink r:id="rId3">
              <w:r>
                <w:rPr>
                  <w:rStyle w:val="Style13"/>
                  <w:color w:val="000000"/>
                  <w:sz w:val="28"/>
                  <w:szCs w:val="28"/>
                  <w:u w:val="none"/>
                  <w:lang w:val="en-US"/>
                </w:rPr>
                <w:t>admkurganinsk</w:t>
              </w:r>
            </w:hyperlink>
            <w:hyperlink r:id="rId4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>.ru</w:t>
              </w:r>
            </w:hyperlink>
            <w:r>
              <w:rPr>
                <w:color w:val="000000"/>
                <w:sz w:val="28"/>
                <w:szCs w:val="28"/>
                <w:u w:val="none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9. В период проведения публичных консультаций замечаний и предложений от участников публичных консультаций не поступило. Получены ответы                       от участников публичных консультаций: общественного представителя                        по Курганинскому району  уполномоченного       по      правам      предпринимателей Краснодарского края   Буракова В.В, индивидуального    предпринимателя,    Председателя Совета депутатов Курганинского городского поселения Курганинского района  Плетнева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Л.Е.</w:t>
            </w:r>
            <w:r>
              <w:rPr>
                <w:sz w:val="28"/>
                <w:szCs w:val="28"/>
              </w:rPr>
              <w:t xml:space="preserve">, индивидуального предпринимателя Кудрявцевой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Е.А.</w:t>
            </w:r>
            <w:r>
              <w:rPr>
                <w:sz w:val="28"/>
                <w:szCs w:val="28"/>
              </w:rPr>
              <w:t xml:space="preserve">, индивидуального  предпринимателя    Разина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В.Ю.</w:t>
            </w:r>
            <w:r>
              <w:rPr>
                <w:sz w:val="28"/>
                <w:szCs w:val="28"/>
              </w:rPr>
              <w:t>, д</w:t>
            </w:r>
            <w:r>
              <w:rPr>
                <w:rStyle w:val="0pt"/>
                <w:rFonts w:eastAsia="Calibri"/>
                <w:sz w:val="28"/>
                <w:szCs w:val="28"/>
              </w:rPr>
              <w:t>иректора общества с ограниченной ответственностью «Центр молодежного инновационного творчества «Перспектива»</w:t>
            </w:r>
            <w:r>
              <w:rPr>
                <w:sz w:val="28"/>
                <w:szCs w:val="28"/>
              </w:rPr>
              <w:t xml:space="preserve">   Попко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К.С.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10.  По результатам оценки регулирующего воздействия сделаны выводы:            в проекте муниципального правового акта отсутствуют положения, вводящие избыточные административные обязанности, запреты и ограничения                              для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субъектов  </w:t>
            </w:r>
            <w:r>
              <w:rPr>
                <w:rFonts w:cs="Times New Roman"/>
                <w:b w:val="false"/>
                <w:i w:val="false"/>
                <w:iCs w:val="false"/>
                <w:sz w:val="28"/>
                <w:szCs w:val="28"/>
              </w:rPr>
              <w:t>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cs="Times New Roman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способствующих их введению, оказывающих негативное влияние на отрасли экономики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sz w:val="28"/>
                <w:szCs w:val="28"/>
              </w:rPr>
              <w:t xml:space="preserve">     Курганинский      район,     способствующих возникновению   необоснованных   расходов физических или юридических лиц   в   сфере   предпринимательской    и   иной   экономической   и  инвестиционной деятельности, а   также   необоснованных расходов бюджета муниципального образования Курганинский район.   </w:t>
            </w:r>
          </w:p>
          <w:tbl>
            <w:tblPr>
              <w:tblW w:w="992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3"/>
            </w:tblGrid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ачальник отдела инвестиций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и стратегического развития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администрации муниципального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 xml:space="preserve">образования Курганинский район        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Е.В. Разумеева</w:t>
                  </w:r>
                  <w:r>
                    <w:rPr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февраля</w:t>
                  </w:r>
                  <w:r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г.                     ______________</w:t>
                  </w:r>
                </w:p>
              </w:tc>
            </w:tr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Style28"/>
                    <w:spacing w:lineRule="auto" w:lin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Style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814" w:right="454" w:header="22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hd w:val="clear" w:fill="FFFFFF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qFormat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 w:val="true"/>
      <w:ind w:left="0" w:right="-15" w:hanging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qFormat/>
    <w:pPr>
      <w:keepNext w:val="true"/>
      <w:spacing w:lineRule="auto" w:line="360"/>
      <w:ind w:left="0" w:right="43" w:hanging="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qFormat/>
    <w:pPr>
      <w:keepNext w:val="true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rFonts w:ascii="Calibri" w:hAnsi="Calibri"/>
    </w:rPr>
  </w:style>
  <w:style w:type="paragraph" w:styleId="8">
    <w:name w:val="Heading 8"/>
    <w:basedOn w:val="Normal"/>
    <w:qFormat/>
    <w:pPr>
      <w:keepNext w:val="true"/>
      <w:ind w:left="0" w:right="-15" w:firstLine="708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rFonts w:ascii="Cambria" w:hAnsi="Cambria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 w:cs="Times New Roman"/>
      <w:sz w:val="22"/>
      <w:szCs w:val="22"/>
    </w:rPr>
  </w:style>
  <w:style w:type="character" w:styleId="Style5">
    <w:name w:val="Верхний колонтитул Знак"/>
    <w:qFormat/>
    <w:rPr>
      <w:sz w:val="24"/>
      <w:szCs w:val="24"/>
    </w:rPr>
  </w:style>
  <w:style w:type="character" w:styleId="Style6">
    <w:name w:val="Нижний колонтитул Знак"/>
    <w:qFormat/>
    <w:rPr>
      <w:sz w:val="24"/>
      <w:szCs w:val="24"/>
    </w:rPr>
  </w:style>
  <w:style w:type="character" w:styleId="Style7">
    <w:name w:val="Текст Знак"/>
    <w:qFormat/>
    <w:rPr>
      <w:rFonts w:ascii="Courier New" w:hAnsi="Courier New" w:cs="Courier New"/>
    </w:rPr>
  </w:style>
  <w:style w:type="character" w:styleId="22">
    <w:name w:val="Основной текст 2 Знак"/>
    <w:qFormat/>
    <w:rPr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8">
    <w:name w:val="Основной текст Знак"/>
    <w:qFormat/>
    <w:rPr>
      <w:sz w:val="24"/>
      <w:szCs w:val="24"/>
    </w:rPr>
  </w:style>
  <w:style w:type="character" w:styleId="Style9">
    <w:name w:val="Основной текст с отступом Знак"/>
    <w:qFormat/>
    <w:rPr>
      <w:sz w:val="24"/>
      <w:szCs w:val="24"/>
    </w:rPr>
  </w:style>
  <w:style w:type="character" w:styleId="23">
    <w:name w:val="Основной текст с отступом 2 Знак"/>
    <w:qFormat/>
    <w:rPr>
      <w:sz w:val="24"/>
      <w:szCs w:val="24"/>
    </w:rPr>
  </w:style>
  <w:style w:type="character" w:styleId="Style10">
    <w:name w:val="Заголовок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3">
    <w:name w:val="Основной текст с отступом 3 Знак"/>
    <w:qFormat/>
    <w:rPr>
      <w:sz w:val="16"/>
      <w:szCs w:val="16"/>
    </w:rPr>
  </w:style>
  <w:style w:type="character" w:styleId="Style11">
    <w:name w:val="Гипертекстовая ссылка"/>
    <w:qFormat/>
    <w:rPr>
      <w:rFonts w:cs="Times New Roman"/>
      <w:color w:val="008000"/>
      <w:sz w:val="20"/>
      <w:szCs w:val="20"/>
      <w:u w:val="single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Applestylespan">
    <w:name w:val="apple-style-span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24">
    <w:name w:val="Основной текст (2)_"/>
    <w:basedOn w:val="DefaultParagraphFont"/>
    <w:qFormat/>
    <w:rPr>
      <w:sz w:val="28"/>
      <w:szCs w:val="28"/>
      <w:highlight w:val="whit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Цветовое выделение для Текст"/>
    <w:qFormat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jc w:val="both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left="0" w:right="43" w:hanging="0"/>
      <w:jc w:val="both"/>
    </w:pPr>
    <w:rPr/>
  </w:style>
  <w:style w:type="paragraph" w:styleId="BodyText3">
    <w:name w:val="Body Text 3"/>
    <w:basedOn w:val="Normal"/>
    <w:qFormat/>
    <w:pPr>
      <w:jc w:val="both"/>
    </w:pPr>
    <w:rPr>
      <w:sz w:val="16"/>
      <w:szCs w:val="16"/>
    </w:rPr>
  </w:style>
  <w:style w:type="paragraph" w:styleId="Style26">
    <w:name w:val="Body Text Indent"/>
    <w:basedOn w:val="Normal"/>
    <w:pPr>
      <w:ind w:left="720" w:right="0" w:hanging="0"/>
      <w:jc w:val="both"/>
    </w:pPr>
    <w:rPr/>
  </w:style>
  <w:style w:type="paragraph" w:styleId="Caption">
    <w:name w:val="caption"/>
    <w:basedOn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left="0" w:right="0" w:firstLine="708"/>
      <w:jc w:val="both"/>
    </w:pPr>
    <w:rPr/>
  </w:style>
  <w:style w:type="paragraph" w:styleId="Style27">
    <w:name w:val="Title"/>
    <w:basedOn w:val="Normal"/>
    <w:qFormat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odyTextIndent3">
    <w:name w:val="Body Text Indent 3"/>
    <w:basedOn w:val="Normal"/>
    <w:qFormat/>
    <w:pPr>
      <w:ind w:left="0" w:right="0" w:firstLine="705"/>
      <w:jc w:val="both"/>
    </w:pPr>
    <w:rPr>
      <w:sz w:val="16"/>
      <w:szCs w:val="16"/>
    </w:rPr>
  </w:style>
  <w:style w:type="paragraph" w:styleId="ConsPlusTitle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/>
      <w:overflowPunct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>
    <w:name w:val="ConsNormal"/>
    <w:qFormat/>
    <w:pPr>
      <w:widowControl/>
      <w:overflowPunct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8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29">
    <w:name w:val="Прижатый влево"/>
    <w:basedOn w:val="Normal"/>
    <w:qFormat/>
    <w:pPr>
      <w:widowControl w:val="false"/>
    </w:pPr>
    <w:rPr>
      <w:rFonts w:ascii="Arial" w:hAnsi="Arial" w:cs="Arial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51">
    <w:name w:val="Style5"/>
    <w:basedOn w:val="Normal"/>
    <w:qFormat/>
    <w:pPr>
      <w:widowControl w:val="false"/>
      <w:spacing w:lineRule="exact" w:line="214"/>
      <w:jc w:val="both"/>
    </w:pPr>
    <w:rPr/>
  </w:style>
  <w:style w:type="paragraph" w:styleId="Style91">
    <w:name w:val="Style9"/>
    <w:basedOn w:val="Normal"/>
    <w:qFormat/>
    <w:pPr>
      <w:widowControl w:val="false"/>
      <w:spacing w:lineRule="exact" w:line="197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auto" w:line="240" w:before="0" w:after="480"/>
      <w:jc w:val="both"/>
    </w:pPr>
    <w:rPr>
      <w:sz w:val="28"/>
      <w:szCs w:val="28"/>
    </w:rPr>
  </w:style>
  <w:style w:type="paragraph" w:styleId="Style30">
    <w:name w:val="Заголовок списка"/>
    <w:basedOn w:val="Normal"/>
    <w:qFormat/>
    <w:pPr>
      <w:ind w:left="0" w:right="0" w:hanging="0"/>
    </w:pPr>
    <w:rPr/>
  </w:style>
  <w:style w:type="paragraph" w:styleId="Style31">
    <w:name w:val="Содержимое списка"/>
    <w:basedOn w:val="Normal"/>
    <w:qFormat/>
    <w:pPr>
      <w:ind w:left="567" w:right="0" w:hanging="0"/>
    </w:pPr>
    <w:rPr/>
  </w:style>
  <w:style w:type="paragraph" w:styleId="Style32">
    <w:name w:val="Обычный (Интернет)"/>
    <w:basedOn w:val="Normal"/>
    <w:qFormat/>
    <w:pPr>
      <w:spacing w:before="280" w:after="280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vestkurg@mail.ru" TargetMode="External"/><Relationship Id="rId3" Type="http://schemas.openxmlformats.org/officeDocument/2006/relationships/hyperlink" Target="http://www.investkurg@mail.ru" TargetMode="External"/><Relationship Id="rId4" Type="http://schemas.openxmlformats.org/officeDocument/2006/relationships/hyperlink" Target="http://www.investkurg@mail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Application>LibreOffice/6.3.6.2$Linux_X86_64 LibreOffice_project/30$Build-2</Application>
  <Pages>5</Pages>
  <Words>969</Words>
  <Characters>8093</Characters>
  <CharactersWithSpaces>10131</CharactersWithSpaces>
  <Paragraphs>55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2019-08-02T10:50:00Z</dcterms:created>
  <dc:creator>Юля</dc:creator>
  <dc:description/>
  <dc:language>ru-RU</dc:language>
  <cp:lastModifiedBy/>
  <cp:lastPrinted>2024-03-04T13:36:44Z</cp:lastPrinted>
  <dcterms:modified xsi:type="dcterms:W3CDTF">2024-03-04T13:42:11Z</dcterms:modified>
  <cp:revision>77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