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15" w:type="dxa"/>
        <w:jc w:val="left"/>
        <w:tblInd w:w="-199" w:type="dxa"/>
        <w:tblCellMar>
          <w:top w:w="55" w:type="dxa"/>
          <w:left w:w="55" w:type="dxa"/>
          <w:bottom w:w="55" w:type="dxa"/>
          <w:right w:w="55" w:type="dxa"/>
        </w:tblCellMar>
      </w:tblPr>
      <w:tblGrid>
        <w:gridCol w:w="9915"/>
      </w:tblGrid>
      <w:tr>
        <w:trPr>
          <w:trHeight w:val="6804" w:hRule="atLeast"/>
        </w:trPr>
        <w:tc>
          <w:tcPr>
            <w:tcW w:w="9915" w:type="dxa"/>
            <w:tcBorders/>
            <w:shd w:fill="auto" w:val="clear"/>
          </w:tcPr>
          <w:tbl>
            <w:tblPr>
              <w:tblW w:w="4605" w:type="dxa"/>
              <w:jc w:val="left"/>
              <w:tblInd w:w="5172" w:type="dxa"/>
              <w:tblCellMar>
                <w:top w:w="55" w:type="dxa"/>
                <w:left w:w="55" w:type="dxa"/>
                <w:bottom w:w="55" w:type="dxa"/>
                <w:right w:w="55" w:type="dxa"/>
              </w:tblCellMar>
            </w:tblPr>
            <w:tblGrid>
              <w:gridCol w:w="4605"/>
            </w:tblGrid>
            <w:tr>
              <w:trPr/>
              <w:tc>
                <w:tcPr>
                  <w:tcW w:w="4605" w:type="dxa"/>
                  <w:tcBorders/>
                  <w:shd w:fill="auto" w:val="clear"/>
                </w:tcPr>
                <w:p>
                  <w:pPr>
                    <w:pStyle w:val="Normal"/>
                    <w:jc w:val="left"/>
                    <w:rPr/>
                  </w:pPr>
                  <w:r>
                    <w:rPr>
                      <w:rFonts w:eastAsia="Times New Roman" w:cs="Times New Roman"/>
                      <w:color w:val="auto"/>
                      <w:kern w:val="0"/>
                      <w:sz w:val="28"/>
                      <w:szCs w:val="28"/>
                      <w:lang w:val="ru-RU" w:eastAsia="ru-RU" w:bidi="ar-SA"/>
                    </w:rPr>
                    <w:t>Заместителю главы</w:t>
                  </w:r>
                </w:p>
                <w:p>
                  <w:pPr>
                    <w:pStyle w:val="Normal"/>
                    <w:jc w:val="left"/>
                    <w:rPr/>
                  </w:pPr>
                  <w:r>
                    <w:rPr>
                      <w:sz w:val="28"/>
                      <w:szCs w:val="28"/>
                    </w:rPr>
                    <w:t>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right="0" w:hanging="0"/>
                    <w:jc w:val="left"/>
                    <w:rPr/>
                  </w:pPr>
                  <w:r>
                    <w:rPr>
                      <w:rFonts w:eastAsia="Times New Roman" w:cs="Times New Roman"/>
                      <w:bCs/>
                      <w:color w:val="auto"/>
                      <w:kern w:val="0"/>
                      <w:sz w:val="28"/>
                      <w:szCs w:val="28"/>
                      <w:lang w:val="ru-RU" w:eastAsia="ru-RU" w:bidi="ar-SA"/>
                    </w:rPr>
                    <w:t xml:space="preserve">образования Курганинский район, </w:t>
                  </w:r>
                </w:p>
                <w:p>
                  <w:pPr>
                    <w:pStyle w:val="Normal"/>
                    <w:widowControl/>
                    <w:tabs>
                      <w:tab w:val="clear" w:pos="708"/>
                      <w:tab w:val="left" w:pos="-959" w:leader="none"/>
                      <w:tab w:val="left" w:pos="2160" w:leader="none"/>
                      <w:tab w:val="left" w:pos="2727" w:leader="none"/>
                      <w:tab w:val="left" w:pos="4854" w:leader="none"/>
                    </w:tabs>
                    <w:bidi w:val="0"/>
                    <w:spacing w:before="0" w:after="0"/>
                    <w:ind w:right="0" w:hanging="0"/>
                    <w:jc w:val="left"/>
                    <w:rPr/>
                  </w:pPr>
                  <w:r>
                    <w:rPr>
                      <w:rFonts w:eastAsia="Times New Roman" w:cs="Times New Roman"/>
                      <w:bCs/>
                      <w:color w:val="auto"/>
                      <w:kern w:val="0"/>
                      <w:sz w:val="28"/>
                      <w:szCs w:val="28"/>
                      <w:lang w:val="ru-RU" w:eastAsia="ru-RU" w:bidi="ar-SA"/>
                    </w:rPr>
                    <w:t>начальнику</w:t>
                  </w:r>
                  <w:bookmarkStart w:id="0" w:name="__DdeLink__4144_1079777226"/>
                  <w:r>
                    <w:rPr>
                      <w:rFonts w:eastAsia="Times New Roman" w:cs="Times New Roman"/>
                      <w:bCs/>
                      <w:color w:val="auto"/>
                      <w:kern w:val="0"/>
                      <w:sz w:val="28"/>
                      <w:szCs w:val="28"/>
                      <w:lang w:val="ru-RU" w:eastAsia="ru-RU" w:bidi="ar-SA"/>
                    </w:rPr>
                    <w:t xml:space="preserve"> управления </w:t>
                  </w:r>
                </w:p>
                <w:p>
                  <w:pPr>
                    <w:pStyle w:val="Normal"/>
                    <w:widowControl/>
                    <w:tabs>
                      <w:tab w:val="clear" w:pos="708"/>
                      <w:tab w:val="left" w:pos="-959" w:leader="none"/>
                      <w:tab w:val="left" w:pos="2160" w:leader="none"/>
                      <w:tab w:val="left" w:pos="2727" w:leader="none"/>
                      <w:tab w:val="left" w:pos="4854" w:leader="none"/>
                    </w:tabs>
                    <w:bidi w:val="0"/>
                    <w:spacing w:before="0" w:after="0"/>
                    <w:ind w:right="0" w:hanging="0"/>
                    <w:jc w:val="left"/>
                    <w:rPr/>
                  </w:pPr>
                  <w:r>
                    <w:rPr>
                      <w:rFonts w:eastAsia="Times New Roman" w:cs="Times New Roman"/>
                      <w:bCs/>
                      <w:color w:val="auto"/>
                      <w:kern w:val="0"/>
                      <w:sz w:val="28"/>
                      <w:szCs w:val="28"/>
                      <w:lang w:val="ru-RU" w:eastAsia="ru-RU" w:bidi="ar-SA"/>
                    </w:rPr>
                    <w:t>сельского хозяйства                               и перерабатывающей промышленности</w:t>
                  </w:r>
                  <w:bookmarkEnd w:id="0"/>
                </w:p>
              </w:tc>
            </w:tr>
          </w:tbl>
          <w:p>
            <w:pPr>
              <w:pStyle w:val="Normal"/>
              <w:rPr/>
            </w:pPr>
            <w:r>
              <w:rPr>
                <w:sz w:val="28"/>
                <w:szCs w:val="28"/>
              </w:rPr>
              <w:t xml:space="preserve">                                                                            </w:t>
            </w:r>
          </w:p>
          <w:p>
            <w:pPr>
              <w:pStyle w:val="Normal"/>
              <w:rPr>
                <w:sz w:val="28"/>
                <w:szCs w:val="28"/>
              </w:rPr>
            </w:pPr>
            <w:r>
              <w:rPr>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rFonts w:eastAsia="Times New Roman" w:cs="Times New Roman"/>
                <w:bCs/>
                <w:color w:val="auto"/>
                <w:kern w:val="0"/>
                <w:sz w:val="28"/>
                <w:szCs w:val="28"/>
                <w:lang w:val="ru-RU" w:eastAsia="ru-RU" w:bidi="ar-SA"/>
              </w:rPr>
              <w:t>Ерезенко Е.Е.</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rHeight w:val="68" w:hRule="atLeast"/>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rHeight w:val="2895" w:hRule="atLeast"/>
                    </w:trPr>
                    <w:tc>
                      <w:tcPr>
                        <w:tcW w:w="8222" w:type="dxa"/>
                        <w:tcBorders/>
                        <w:shd w:fill="auto" w:val="clear"/>
                      </w:tcPr>
                      <w:p>
                        <w:pPr>
                          <w:pStyle w:val="1"/>
                          <w:shd w:val="clear" w:fill="FFFFFF"/>
                          <w:suppressAutoHyphens w:val="true"/>
                          <w:spacing w:before="280" w:after="0"/>
                          <w:ind w:left="0" w:right="0" w:hanging="0"/>
                          <w:jc w:val="both"/>
                          <w:rPr/>
                        </w:pP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проекта постановления администрации муниципального образования Курганинский район </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w:t>
                        </w:r>
                        <w:r>
                          <w:rPr>
                            <w:rStyle w:val="Style17"/>
                            <w:rFonts w:eastAsia="Times New Roman" w:cs="Times New Roman" w:ascii="Times New Roman" w:hAnsi="Times New Roman"/>
                            <w:b w:val="false"/>
                            <w:bCs/>
                            <w:i w:val="false"/>
                            <w:iCs w:val="false"/>
                            <w:color w:val="auto"/>
                            <w:spacing w:val="2"/>
                            <w:kern w:val="0"/>
                            <w:sz w:val="28"/>
                            <w:szCs w:val="28"/>
                            <w:highlight w:val="white"/>
                            <w:u w:val="none"/>
                            <w:lang w:val="ru-RU" w:eastAsia="ru-RU" w:bidi="ar-SA"/>
                          </w:rPr>
                          <w:t xml:space="preserve">О внесении изменений                     в постановление администрации </w:t>
                        </w:r>
                        <w:r>
                          <w:rPr>
                            <w:rStyle w:val="Style17"/>
                            <w:rFonts w:eastAsia="Times New Roman" w:cs="Times New Roman" w:ascii="Times New Roman" w:hAnsi="Times New Roman"/>
                            <w:b w:val="false"/>
                            <w:bCs w:val="false"/>
                            <w:i w:val="false"/>
                            <w:iCs w:val="false"/>
                            <w:color w:val="auto"/>
                            <w:spacing w:val="2"/>
                            <w:kern w:val="0"/>
                            <w:sz w:val="28"/>
                            <w:szCs w:val="22"/>
                            <w:highlight w:val="white"/>
                            <w:u w:val="none"/>
                            <w:lang w:val="ru-RU" w:eastAsia="ru-RU" w:bidi="ar-SA"/>
                          </w:rPr>
                          <w:t>муниципального</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 xml:space="preserve"> образования Курганинский район от 20 июля 2021 г. № 786 </w:t>
                        </w:r>
                        <w:r>
                          <w:rPr>
                            <w:rStyle w:val="Style17"/>
                            <w:rFonts w:eastAsia="Times New Roman" w:cs="Times New Roman" w:ascii="Times New Roman" w:hAnsi="Times New Roman"/>
                            <w:b w:val="false"/>
                            <w:bCs w:val="false"/>
                            <w:i w:val="false"/>
                            <w:iCs w:val="false"/>
                            <w:color w:val="auto"/>
                            <w:spacing w:val="2"/>
                            <w:kern w:val="0"/>
                            <w:sz w:val="28"/>
                            <w:szCs w:val="22"/>
                            <w:highlight w:val="white"/>
                            <w:u w:val="none"/>
                            <w:lang w:val="ru-RU" w:eastAsia="ru-RU" w:bidi="ar-SA"/>
                          </w:rPr>
                          <w:t>«</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w:t>
                        </w:r>
                      </w:p>
                      <w:p>
                        <w:pPr>
                          <w:pStyle w:val="1"/>
                          <w:shd w:val="clear" w:fill="FFFFFF"/>
                          <w:suppressAutoHyphens w:val="true"/>
                          <w:spacing w:before="280" w:after="0"/>
                          <w:ind w:left="0" w:right="0" w:hanging="0"/>
                          <w:jc w:val="both"/>
                          <w:rPr>
                            <w:rStyle w:val="Style17"/>
                            <w:rFonts w:ascii="Times New Roman" w:hAnsi="Times New Roman" w:eastAsia="Times New Roman" w:cs="Times New Roman"/>
                            <w:b w:val="false"/>
                            <w:b w:val="false"/>
                            <w:bCs w:val="false"/>
                            <w:i w:val="false"/>
                            <w:i w:val="false"/>
                            <w:iCs w:val="false"/>
                            <w:color w:val="auto"/>
                            <w:spacing w:val="2"/>
                            <w:kern w:val="0"/>
                            <w:sz w:val="28"/>
                            <w:szCs w:val="28"/>
                            <w:highlight w:val="white"/>
                            <w:u w:val="none"/>
                            <w:lang w:val="ru-RU" w:eastAsia="ru-RU" w:bidi="ar-SA"/>
                          </w:rPr>
                        </w:pPr>
                        <w:r>
                          <w:rPr>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r>
                      </w:p>
                    </w:tc>
                  </w:tr>
                </w:tbl>
                <w:p>
                  <w:pPr>
                    <w:pStyle w:val="Normal"/>
                    <w:rPr/>
                  </w:pPr>
                  <w:r>
                    <w:rPr/>
                  </w:r>
                </w:p>
              </w:tc>
            </w:tr>
          </w:tbl>
          <w:p>
            <w:pPr>
              <w:pStyle w:val="Normal"/>
              <w:rPr>
                <w:sz w:val="28"/>
                <w:szCs w:val="28"/>
              </w:rPr>
            </w:pPr>
            <w:r>
              <w:rPr>
                <w:sz w:val="28"/>
                <w:szCs w:val="28"/>
              </w:rPr>
            </w:r>
          </w:p>
        </w:tc>
      </w:tr>
      <w:tr>
        <w:trPr/>
        <w:tc>
          <w:tcPr>
            <w:tcW w:w="9915"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9</w:t>
            </w:r>
            <w:r>
              <w:rPr>
                <w:rFonts w:eastAsia="Times New Roman" w:cs="Times New Roman" w:ascii="Times New Roman" w:hAnsi="Times New Roman"/>
                <w:bCs/>
                <w:color w:val="auto"/>
                <w:kern w:val="0"/>
                <w:sz w:val="28"/>
                <w:szCs w:val="28"/>
                <w:lang w:val="ru-RU" w:eastAsia="ru-RU" w:bidi="ar-SA"/>
              </w:rPr>
              <w:t xml:space="preserve"> октября 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w:t>
            </w:r>
            <w:r>
              <w:rPr>
                <w:rStyle w:val="Style17"/>
                <w:rFonts w:eastAsia="Times New Roman" w:cs="Times New Roman" w:ascii="Times New Roman" w:hAnsi="Times New Roman"/>
                <w:b w:val="false"/>
                <w:bCs/>
                <w:i w:val="false"/>
                <w:iCs w:val="false"/>
                <w:color w:val="auto"/>
                <w:spacing w:val="2"/>
                <w:kern w:val="0"/>
                <w:sz w:val="28"/>
                <w:szCs w:val="28"/>
                <w:highlight w:val="white"/>
                <w:u w:val="none"/>
                <w:lang w:val="ru-RU" w:eastAsia="ru-RU" w:bidi="ar-SA"/>
              </w:rPr>
              <w:t xml:space="preserve">О внесении изменений в постановление администрации </w:t>
            </w:r>
            <w:r>
              <w:rPr>
                <w:rStyle w:val="Style17"/>
                <w:rFonts w:eastAsia="Times New Roman" w:cs="Times New Roman" w:ascii="Times New Roman" w:hAnsi="Times New Roman"/>
                <w:b w:val="false"/>
                <w:bCs w:val="false"/>
                <w:i w:val="false"/>
                <w:iCs w:val="false"/>
                <w:color w:val="auto"/>
                <w:spacing w:val="2"/>
                <w:kern w:val="0"/>
                <w:sz w:val="28"/>
                <w:szCs w:val="22"/>
                <w:highlight w:val="white"/>
                <w:u w:val="none"/>
                <w:lang w:val="ru-RU" w:eastAsia="ru-RU" w:bidi="ar-SA"/>
              </w:rPr>
              <w:t>муниципального</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 xml:space="preserve"> образования Курганинский район                            от 20 июля 2021 г. № 786 </w:t>
            </w:r>
            <w:r>
              <w:rPr>
                <w:rStyle w:val="Style17"/>
                <w:rFonts w:eastAsia="Times New Roman" w:cs="Times New Roman" w:ascii="Times New Roman" w:hAnsi="Times New Roman"/>
                <w:b w:val="false"/>
                <w:bCs w:val="false"/>
                <w:i w:val="false"/>
                <w:iCs w:val="false"/>
                <w:color w:val="auto"/>
                <w:spacing w:val="2"/>
                <w:kern w:val="0"/>
                <w:sz w:val="28"/>
                <w:szCs w:val="22"/>
                <w:highlight w:val="white"/>
                <w:u w:val="none"/>
                <w:lang w:val="ru-RU" w:eastAsia="ru-RU" w:bidi="ar-SA"/>
              </w:rPr>
              <w:t>«</w:t>
            </w:r>
            <w:r>
              <w:rPr>
                <w:rStyle w:val="Style17"/>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 xml:space="preserve">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 </w:t>
            </w:r>
            <w:r>
              <w:rPr>
                <w:rStyle w:val="Style17"/>
                <w:rFonts w:eastAsia="Times New Roman" w:cs="Times New Roman" w:ascii="Times New Roman" w:hAnsi="Times New Roman"/>
                <w:b w:val="false"/>
                <w:bCs w:val="false"/>
                <w:i w:val="false"/>
                <w:iCs/>
                <w:color w:val="auto"/>
                <w:spacing w:val="2"/>
                <w:kern w:val="0"/>
                <w:sz w:val="28"/>
                <w:szCs w:val="28"/>
                <w:highlight w:val="white"/>
                <w:u w:val="none"/>
                <w:lang w:val="ru-RU" w:eastAsia="ru-RU" w:bidi="ar-SA"/>
              </w:rPr>
              <w:t>направленны</w:t>
            </w:r>
            <w:r>
              <w:rPr>
                <w:rStyle w:val="Style17"/>
                <w:rFonts w:eastAsia="Times New Roman" w:cs="Times New Roman" w:ascii="Times New Roman" w:hAnsi="Times New Roman"/>
                <w:b w:val="false"/>
                <w:bCs/>
                <w:i w:val="false"/>
                <w:iCs/>
                <w:color w:val="auto"/>
                <w:spacing w:val="2"/>
                <w:kern w:val="0"/>
                <w:sz w:val="28"/>
                <w:szCs w:val="28"/>
                <w:highlight w:val="white"/>
                <w:u w:val="none"/>
                <w:lang w:val="ru-RU" w:eastAsia="ru-RU" w:bidi="ar-SA"/>
              </w:rPr>
              <w:t xml:space="preserve">й для подготовки настоящего Заключения  управлением сельского хозяйства и перерабатывающей промышленности </w:t>
            </w:r>
            <w:r>
              <w:rPr>
                <w:rStyle w:val="Style17"/>
                <w:rFonts w:eastAsia="Times New Roman" w:cs="Times New Roman" w:ascii="Times New Roman" w:hAnsi="Times New Roman"/>
                <w:b w:val="false"/>
                <w:bCs w:val="false"/>
                <w:i w:val="false"/>
                <w:iCs/>
                <w:color w:val="auto"/>
                <w:spacing w:val="2"/>
                <w:kern w:val="0"/>
                <w:sz w:val="28"/>
                <w:szCs w:val="28"/>
                <w:highlight w:val="white"/>
                <w:u w:val="none"/>
                <w:lang w:val="ru-RU" w:eastAsia="ru-RU" w:bidi="ar-SA"/>
              </w:rPr>
              <w:t xml:space="preserve">администрации муниципального </w:t>
            </w:r>
            <w:r>
              <w:rPr>
                <w:rStyle w:val="Style17"/>
                <w:rFonts w:eastAsia="Times New Roman" w:cs="Times New Roman" w:ascii="Times New Roman" w:hAnsi="Times New Roman"/>
                <w:b w:val="false"/>
                <w:bCs/>
                <w:i w:val="false"/>
                <w:iCs/>
                <w:color w:val="auto"/>
                <w:spacing w:val="2"/>
                <w:kern w:val="0"/>
                <w:sz w:val="28"/>
                <w:szCs w:val="28"/>
                <w:highlight w:val="white"/>
                <w:u w:val="none"/>
                <w:lang w:val="ru-RU" w:eastAsia="ru-RU" w:bidi="ar-SA"/>
              </w:rPr>
              <w:t>образования Курганинский район (далее - разработчик)                   и сообщает следующее</w:t>
            </w:r>
            <w:r>
              <w:rPr>
                <w:rFonts w:eastAsia="Times New Roman" w:cs="Times New Roman" w:ascii="Times New Roman" w:hAnsi="Times New Roman"/>
                <w:b w:val="false"/>
                <w:bCs/>
                <w:i w:val="false"/>
                <w:iCs/>
                <w:color w:val="auto"/>
                <w:spacing w:val="2"/>
                <w:kern w:val="0"/>
                <w:sz w:val="28"/>
                <w:szCs w:val="28"/>
                <w:lang w:val="ru-RU" w:eastAsia="ru-RU" w:bidi="ar-SA"/>
              </w:rPr>
              <w:t xml:space="preserve">.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color w:val="auto"/>
                <w:spacing w:val="2"/>
                <w:kern w:val="0"/>
                <w:sz w:val="28"/>
                <w:szCs w:val="28"/>
                <w:lang w:val="ru-RU" w:eastAsia="ru-RU" w:bidi="ar-SA"/>
              </w:rPr>
              <w:t xml:space="preserve">     </w:t>
            </w:r>
            <w:r>
              <w:rPr>
                <w:rFonts w:eastAsia="Times New Roman" w:cs="Times New Roman"/>
                <w:b w:val="false"/>
                <w:bCs/>
                <w:i w:val="false"/>
                <w:iCs/>
                <w:color w:val="auto"/>
                <w:spacing w:val="2"/>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color w:val="auto"/>
                <w:spacing w:val="2"/>
                <w:kern w:val="0"/>
                <w:sz w:val="28"/>
                <w:szCs w:val="28"/>
                <w:lang w:val="ru-RU" w:eastAsia="ru-RU" w:bidi="ar-SA"/>
              </w:rPr>
              <w:t xml:space="preserve">      </w:t>
            </w:r>
            <w:r>
              <w:rPr>
                <w:rFonts w:eastAsia="Times New Roman" w:cs="Times New Roman"/>
                <w:b w:val="false"/>
                <w:bCs/>
                <w:i w:val="false"/>
                <w:iCs/>
                <w:color w:val="auto"/>
                <w:spacing w:val="2"/>
                <w:kern w:val="0"/>
                <w:sz w:val="28"/>
                <w:szCs w:val="28"/>
                <w:lang w:val="ru-RU" w:eastAsia="ru-RU" w:bidi="ar-SA"/>
              </w:rPr>
              <w:t xml:space="preserve">В соответствии с Порядком </w:t>
            </w:r>
            <w:r>
              <w:rPr>
                <w:rStyle w:val="Style12"/>
                <w:rFonts w:eastAsia="Times New Roman" w:cs="Times New Roman"/>
                <w:b w:val="false"/>
                <w:bCs/>
                <w:i w:val="false"/>
                <w:iCs w:val="false"/>
                <w:color w:val="auto"/>
                <w:spacing w:val="2"/>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spacing w:val="2"/>
                <w:kern w:val="0"/>
                <w:sz w:val="28"/>
                <w:szCs w:val="28"/>
                <w:lang w:val="ru-RU" w:eastAsia="ru-RU" w:bidi="ar-SA"/>
              </w:rPr>
              <w:t xml:space="preserve"> </w:t>
            </w:r>
            <w:r>
              <w:rPr>
                <w:rStyle w:val="Style12"/>
                <w:rFonts w:eastAsia="Times New Roman" w:cs="Times New Roman"/>
                <w:b w:val="false"/>
                <w:bCs/>
                <w:i w:val="false"/>
                <w:iCs w:val="false"/>
                <w:color w:val="auto"/>
                <w:spacing w:val="2"/>
                <w:kern w:val="0"/>
                <w:sz w:val="28"/>
                <w:szCs w:val="28"/>
                <w:lang w:val="ru-RU" w:eastAsia="ru-RU" w:bidi="ar-SA"/>
              </w:rPr>
              <w:t>воздействия проектов муниципальных</w:t>
            </w:r>
            <w:r>
              <w:rPr>
                <w:rFonts w:eastAsia="Times New Roman" w:cs="Times New Roman"/>
                <w:b/>
                <w:bCs/>
                <w:i w:val="false"/>
                <w:iCs w:val="false"/>
                <w:color w:val="auto"/>
                <w:spacing w:val="2"/>
                <w:kern w:val="0"/>
                <w:sz w:val="28"/>
                <w:szCs w:val="28"/>
                <w:lang w:val="ru-RU" w:eastAsia="ru-RU" w:bidi="ar-SA"/>
              </w:rPr>
              <w:t xml:space="preserve"> </w:t>
            </w:r>
            <w:r>
              <w:rPr>
                <w:rStyle w:val="Style12"/>
                <w:rFonts w:eastAsia="Times New Roman" w:cs="Times New Roman"/>
                <w:b w:val="false"/>
                <w:bCs/>
                <w:i w:val="false"/>
                <w:iCs w:val="false"/>
                <w:color w:val="auto"/>
                <w:spacing w:val="2"/>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spacing w:val="2"/>
                <w:kern w:val="0"/>
                <w:sz w:val="28"/>
                <w:szCs w:val="28"/>
                <w:lang w:val="ru-RU" w:eastAsia="ru-RU" w:bidi="ar-SA"/>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rFonts w:eastAsia="Times New Roman" w:cs="Times New Roman"/>
                <w:b w:val="false"/>
                <w:bCs/>
                <w:i w:val="false"/>
                <w:iCs/>
                <w:color w:val="auto"/>
                <w:spacing w:val="2"/>
                <w:kern w:val="0"/>
                <w:sz w:val="28"/>
                <w:szCs w:val="28"/>
                <w:lang w:val="ru-RU" w:eastAsia="ru-RU" w:bidi="ar-SA"/>
              </w:rPr>
              <w:t xml:space="preserve">утверждённым постановлением администрации муниципального образования      Курганинский      район       от       6 июля   2022   года                          №    692 </w:t>
            </w:r>
            <w:r>
              <w:rPr>
                <w:rFonts w:eastAsia="Times New Roman" w:cs="Times New Roman"/>
                <w:b w:val="false"/>
                <w:bCs/>
                <w:i w:val="false"/>
                <w:iCs w:val="false"/>
                <w:color w:val="auto"/>
                <w:spacing w:val="2"/>
                <w:kern w:val="0"/>
                <w:sz w:val="28"/>
                <w:szCs w:val="28"/>
                <w:lang w:val="ru-RU" w:eastAsia="ru-RU" w:bidi="ar-SA"/>
              </w:rPr>
              <w:t xml:space="preserve">«Об   утверждении     Порядка     проведения    оценки   регулирующего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spacing w:val="2"/>
                <w:kern w:val="0"/>
                <w:sz w:val="28"/>
                <w:szCs w:val="28"/>
                <w:lang w:val="ru-RU" w:eastAsia="ru-RU" w:bidi="ar-SA"/>
              </w:rPr>
              <w:t xml:space="preserve">воздействия         проектов         муниципальных   нормативных правовых   актов   </w:t>
            </w:r>
          </w:p>
        </w:tc>
      </w:tr>
      <w:tr>
        <w:trPr>
          <w:trHeight w:val="13950" w:hRule="atLeast"/>
        </w:trPr>
        <w:tc>
          <w:tcPr>
            <w:tcW w:w="9915" w:type="dxa"/>
            <w:tcBorders/>
            <w:shd w:fill="auto" w:val="clear"/>
          </w:tcPr>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lang w:val="ru-RU" w:eastAsia="ru-RU" w:bidi="ar-SA"/>
              </w:rPr>
              <w:t>НПА</w:t>
            </w:r>
            <w:r>
              <w:rPr>
                <w:rFonts w:cs="Times New Roman"/>
                <w:sz w:val="28"/>
                <w:szCs w:val="28"/>
              </w:rPr>
              <w:t xml:space="preserve">, </w:t>
            </w:r>
            <w:r>
              <w:rPr>
                <w:rFonts w:eastAsia="Times New Roman" w:cs="Times New Roman"/>
                <w:b w:val="false"/>
                <w:bCs w:val="false"/>
                <w:i w:val="false"/>
                <w:iCs/>
                <w:color w:val="auto"/>
                <w:spacing w:val="2"/>
                <w:kern w:val="0"/>
                <w:sz w:val="28"/>
                <w:szCs w:val="28"/>
                <w:lang w:val="ru-RU" w:eastAsia="ru-RU" w:bidi="ar-SA"/>
              </w:rPr>
              <w:t xml:space="preserve">проекта постановления администрации муниципального образования Курганинский район </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w:t>
            </w:r>
            <w:r>
              <w:rPr>
                <w:rStyle w:val="Style17"/>
                <w:rFonts w:eastAsia="Times New Roman" w:cs="Times New Roman"/>
                <w:b w:val="false"/>
                <w:bCs/>
                <w:i w:val="false"/>
                <w:iCs w:val="false"/>
                <w:color w:val="auto"/>
                <w:spacing w:val="2"/>
                <w:kern w:val="0"/>
                <w:sz w:val="28"/>
                <w:szCs w:val="28"/>
                <w:highlight w:val="white"/>
                <w:u w:val="none"/>
                <w:lang w:val="ru-RU" w:eastAsia="ru-RU" w:bidi="ar-SA"/>
              </w:rPr>
              <w:t xml:space="preserve">О внесении изменений                     в постановление администрации </w:t>
            </w:r>
            <w:r>
              <w:rPr>
                <w:rStyle w:val="Style17"/>
                <w:rFonts w:eastAsia="Times New Roman" w:cs="Times New Roman"/>
                <w:b w:val="false"/>
                <w:bCs w:val="false"/>
                <w:i w:val="false"/>
                <w:iCs w:val="false"/>
                <w:color w:val="auto"/>
                <w:spacing w:val="2"/>
                <w:kern w:val="0"/>
                <w:sz w:val="28"/>
                <w:szCs w:val="22"/>
                <w:highlight w:val="white"/>
                <w:u w:val="none"/>
                <w:lang w:val="ru-RU" w:eastAsia="ru-RU" w:bidi="ar-SA"/>
              </w:rPr>
              <w:t>муниципального</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 xml:space="preserve"> образования Курганинский район от 20 июля 2021 г. № 786 </w:t>
            </w:r>
            <w:r>
              <w:rPr>
                <w:rStyle w:val="Style17"/>
                <w:rFonts w:eastAsia="Times New Roman" w:cs="Times New Roman"/>
                <w:b w:val="false"/>
                <w:bCs w:val="false"/>
                <w:i w:val="false"/>
                <w:iCs w:val="false"/>
                <w:color w:val="auto"/>
                <w:spacing w:val="2"/>
                <w:kern w:val="0"/>
                <w:sz w:val="28"/>
                <w:szCs w:val="22"/>
                <w:highlight w:val="white"/>
                <w:u w:val="none"/>
                <w:lang w:val="ru-RU" w:eastAsia="ru-RU" w:bidi="ar-SA"/>
              </w:rPr>
              <w:t>«</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lang w:val="ru-RU" w:eastAsia="ru-RU" w:bidi="ar-SA"/>
              </w:rPr>
              <w:t xml:space="preserve">В качестве альтернативы рассмотрен </w:t>
            </w:r>
            <w:r>
              <w:rPr>
                <w:rFonts w:cs="Times New Roman" w:ascii="Times New Roman" w:hAnsi="Times New Roman"/>
                <w:sz w:val="28"/>
                <w:szCs w:val="28"/>
              </w:rPr>
              <w:t xml:space="preserve">вариант непринятия муниципального </w:t>
            </w:r>
            <w:r>
              <w:rPr>
                <w:rFonts w:eastAsia="Times New Roman" w:cs="Times New Roman" w:ascii="Times New Roman" w:hAnsi="Times New Roman"/>
                <w:color w:val="auto"/>
                <w:kern w:val="0"/>
                <w:sz w:val="28"/>
                <w:szCs w:val="28"/>
                <w:lang w:val="ru-RU" w:eastAsia="ru-RU" w:bidi="ar-SA"/>
              </w:rPr>
              <w:t>НПА</w:t>
            </w:r>
            <w:r>
              <w:rPr>
                <w:rFonts w:cs="Times New Roman" w:ascii="Times New Roman" w:hAnsi="Times New Roman"/>
                <w:sz w:val="28"/>
                <w:szCs w:val="28"/>
              </w:rPr>
              <w:t>.</w:t>
            </w:r>
          </w:p>
          <w:p>
            <w:pPr>
              <w:pStyle w:val="Normal"/>
              <w:spacing w:lineRule="auto" w:line="240"/>
              <w:ind w:left="0" w:right="0" w:firstLine="743"/>
              <w:jc w:val="both"/>
              <w:rPr/>
            </w:pPr>
            <w:r>
              <w:rPr>
                <w:rFonts w:cs="Times New Roman"/>
                <w:b w:val="false"/>
                <w:bCs w:val="false"/>
                <w:i w:val="false"/>
                <w:iCs w:val="false"/>
                <w:sz w:val="28"/>
                <w:szCs w:val="28"/>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color w:val="auto"/>
                <w:kern w:val="0"/>
                <w:sz w:val="28"/>
                <w:szCs w:val="28"/>
                <w:lang w:val="ru-RU" w:eastAsia="ru-RU" w:bidi="ar-SA"/>
              </w:rPr>
              <w:t xml:space="preserve">октябрь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w:t>
            </w:r>
          </w:p>
          <w:p>
            <w:pPr>
              <w:pStyle w:val="Normal"/>
              <w:spacing w:lineRule="auto" w:line="240"/>
              <w:ind w:left="0" w:right="0" w:hanging="0"/>
              <w:jc w:val="both"/>
              <w:rPr/>
            </w:pPr>
            <w:r>
              <w:rPr>
                <w:sz w:val="28"/>
                <w:szCs w:val="28"/>
              </w:rPr>
              <w:t xml:space="preserve">участвующих  в   правоотношениях,    подлежащих    правовому  регулированию,                 </w:t>
            </w:r>
          </w:p>
          <w:p>
            <w:pPr>
              <w:pStyle w:val="Normal"/>
              <w:spacing w:lineRule="auto" w:line="240"/>
              <w:ind w:left="0" w:right="0" w:hanging="0"/>
              <w:jc w:val="both"/>
              <w:rPr/>
            </w:pPr>
            <w:r>
              <w:rPr>
                <w:sz w:val="28"/>
                <w:szCs w:val="28"/>
              </w:rPr>
              <w:t xml:space="preserve">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принятия предлагаемого правового регулирования.</w:t>
            </w:r>
          </w:p>
          <w:p>
            <w:pPr>
              <w:pStyle w:val="Normal"/>
              <w:shd w:val="clear" w:fill="FFFFFF"/>
              <w:spacing w:lineRule="auto" w:line="240"/>
              <w:ind w:left="0" w:right="0" w:firstLine="743"/>
              <w:jc w:val="both"/>
              <w:rPr/>
            </w:pPr>
            <w:r>
              <w:rPr>
                <w:sz w:val="28"/>
                <w:szCs w:val="28"/>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 xml:space="preserve">граждане, ведущие на территории МО Курганинский район личное подсобное хозяйство (далее - ЛПХ) в соответствии       с действующим законодательством; граждане, ведущие  ЛПХ в соответствии                    с действующим законодательством, перешедшие на специальный налоговый режим «налог на профессиональный доход»; </w:t>
            </w:r>
            <w:r>
              <w:rPr>
                <w:rStyle w:val="Style17"/>
                <w:rFonts w:eastAsia="Times New Roman" w:cs="Times New Roman"/>
                <w:color w:val="auto"/>
                <w:spacing w:val="2"/>
                <w:kern w:val="0"/>
                <w:sz w:val="28"/>
                <w:szCs w:val="28"/>
                <w:highlight w:val="white"/>
                <w:lang w:val="ru-RU" w:eastAsia="ru-RU" w:bidi="ar-SA"/>
              </w:rPr>
              <w:t>крестьянские</w:t>
            </w:r>
            <w:r>
              <w:rPr>
                <w:rFonts w:eastAsia="Times New Roman" w:cs="Times New Roman"/>
                <w:color w:val="auto"/>
                <w:kern w:val="0"/>
                <w:sz w:val="28"/>
                <w:szCs w:val="28"/>
                <w:lang w:val="ru-RU" w:eastAsia="ru-RU" w:bidi="ar-SA"/>
              </w:rPr>
              <w:t xml:space="preserve"> (фермерские) хозяйства (далее - КФХ), осуществляющие деятельность в области производства сельскохозяйственной продукции на территории МО Курганинский район; индивидуальные предприниматели (далее - ИП),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ИП</w:t>
            </w:r>
            <w:r>
              <w:rPr>
                <w:rFonts w:eastAsia="Times New Roman" w:cs="Times New Roman"/>
                <w:b w:val="false"/>
                <w:bCs w:val="false"/>
                <w:i w:val="false"/>
                <w:iCs w:val="false"/>
                <w:color w:val="auto"/>
                <w:kern w:val="0"/>
                <w:sz w:val="28"/>
                <w:szCs w:val="28"/>
                <w:lang w:val="ru-RU" w:eastAsia="ru-RU" w:bidi="ar-SA"/>
              </w:rPr>
              <w:t>,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(ОКПД 2) ОК 034-2014 (КПЕС 2008) – Раздел А. «Продукция сельского, лесного и рыбного хозяйства».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Normal"/>
                    <w:shd w:val="clear" w:fill="FFFFFF"/>
                    <w:ind w:hanging="0"/>
                    <w:jc w:val="both"/>
                    <w:rPr/>
                  </w:pPr>
                  <w:bookmarkStart w:id="1" w:name="__DdeLink__381_1392190069"/>
                  <w:r>
                    <w:rPr>
                      <w:rFonts w:eastAsia="Times New Roman" w:cs="Times New Roman"/>
                      <w:b w:val="false"/>
                      <w:bCs/>
                      <w:i w:val="false"/>
                      <w:iCs w:val="false"/>
                      <w:color w:val="000000" w:themeColor="text1"/>
                      <w:spacing w:val="-2"/>
                      <w:kern w:val="0"/>
                      <w:sz w:val="28"/>
                      <w:szCs w:val="28"/>
                      <w:lang w:val="ru-RU" w:eastAsia="ru-RU" w:bidi="ar-SA"/>
                    </w:rPr>
                    <w:t xml:space="preserve">невозможность корректного предоставления государственной поддержки </w:t>
                  </w:r>
                  <w:bookmarkStart w:id="2" w:name="__DdeLink__526_4025685035"/>
                  <w:r>
                    <w:rPr>
                      <w:rFonts w:eastAsia="Times New Roman" w:cs="Times New Roman"/>
                      <w:b w:val="false"/>
                      <w:bCs/>
                      <w:i w:val="false"/>
                      <w:iCs w:val="false"/>
                      <w:color w:val="000000" w:themeColor="text1"/>
                      <w:spacing w:val="-2"/>
                      <w:kern w:val="0"/>
                      <w:sz w:val="28"/>
                      <w:szCs w:val="28"/>
                      <w:lang w:val="ru-RU" w:eastAsia="ru-RU" w:bidi="ar-SA"/>
                    </w:rPr>
                    <w:t>гражданам, ведущим ЛПХ, КФХ, ИП, осуществляющим деятельность в области сельскохозяйственного производства на территории МО Курганинский район.</w:t>
                  </w:r>
                  <w:bookmarkEnd w:id="1"/>
                  <w:bookmarkEnd w:id="2"/>
                </w:p>
                <w:p>
                  <w:pPr>
                    <w:pStyle w:val="Normal"/>
                    <w:shd w:val="clear" w:fill="FFFFFF"/>
                    <w:spacing w:lineRule="auto" w:line="240"/>
                    <w:jc w:val="center"/>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4</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w:t>
                  </w:r>
                  <w:r>
                    <w:rPr>
                      <w:rStyle w:val="Style17"/>
                      <w:rFonts w:eastAsia="Times New Roman" w:cs="Times New Roman"/>
                      <w:b w:val="false"/>
                      <w:bCs/>
                      <w:i w:val="false"/>
                      <w:iCs w:val="false"/>
                      <w:color w:val="auto"/>
                      <w:spacing w:val="2"/>
                      <w:kern w:val="0"/>
                      <w:sz w:val="28"/>
                      <w:szCs w:val="28"/>
                      <w:highlight w:val="white"/>
                      <w:u w:val="none"/>
                      <w:lang w:val="ru-RU" w:eastAsia="ru-RU" w:bidi="ar-SA"/>
                    </w:rPr>
                    <w:t xml:space="preserve">внесения изменений в постановление администрации       </w:t>
                  </w:r>
                  <w:r>
                    <w:rPr>
                      <w:rStyle w:val="Style17"/>
                      <w:rFonts w:eastAsia="Times New Roman" w:cs="Times New Roman"/>
                      <w:b w:val="false"/>
                      <w:bCs w:val="false"/>
                      <w:i w:val="false"/>
                      <w:iCs w:val="false"/>
                      <w:color w:val="auto"/>
                      <w:spacing w:val="2"/>
                      <w:kern w:val="0"/>
                      <w:sz w:val="28"/>
                      <w:szCs w:val="22"/>
                      <w:highlight w:val="white"/>
                      <w:u w:val="none"/>
                      <w:lang w:val="ru-RU" w:eastAsia="ru-RU" w:bidi="ar-SA"/>
                    </w:rPr>
                    <w:t xml:space="preserve">муниципального       </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 xml:space="preserve"> образования         Курганинский район</w:t>
                  </w:r>
                </w:p>
                <w:p>
                  <w:pPr>
                    <w:pStyle w:val="Normal"/>
                    <w:shd w:val="clear" w:fill="FFFFFF"/>
                    <w:spacing w:lineRule="auto" w:line="240"/>
                    <w:ind w:left="0" w:right="0" w:hanging="0"/>
                    <w:jc w:val="both"/>
                    <w:rPr/>
                  </w:pP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 xml:space="preserve">от 20 июля 2021 г. № 786 </w:t>
                  </w:r>
                  <w:r>
                    <w:rPr>
                      <w:rStyle w:val="Style17"/>
                      <w:rFonts w:eastAsia="Times New Roman" w:cs="Times New Roman"/>
                      <w:b w:val="false"/>
                      <w:bCs w:val="false"/>
                      <w:i w:val="false"/>
                      <w:iCs w:val="false"/>
                      <w:color w:val="auto"/>
                      <w:spacing w:val="2"/>
                      <w:kern w:val="0"/>
                      <w:sz w:val="28"/>
                      <w:szCs w:val="22"/>
                      <w:highlight w:val="white"/>
                      <w:u w:val="none"/>
                      <w:lang w:val="ru-RU" w:eastAsia="ru-RU" w:bidi="ar-SA"/>
                    </w:rPr>
                    <w:t>«</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3" w:name="_Hlk1212346144"/>
            <w:bookmarkEnd w:id="3"/>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 xml:space="preserve">МО </w:t>
            </w:r>
            <w:r>
              <w:rPr>
                <w:sz w:val="28"/>
                <w:szCs w:val="28"/>
              </w:rPr>
              <w:t xml:space="preserve">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 xml:space="preserve">предпринимательской и иной               экономической                деятельности,               обязанности        для    </w:t>
            </w:r>
            <w:r>
              <w:rPr>
                <w:rFonts w:eastAsia="Times New Roman" w:cs="Times New Roman"/>
                <w:b w:val="false"/>
                <w:i w:val="false"/>
                <w:iCs w:val="false"/>
                <w:color w:val="auto"/>
                <w:kern w:val="0"/>
                <w:sz w:val="28"/>
                <w:szCs w:val="28"/>
                <w:lang w:val="ru-RU" w:eastAsia="ru-RU" w:bidi="ar-SA"/>
              </w:rPr>
              <w:t>субъектов инвестиционной        деятельности, требования, предъявляемые к заявителю дополняются:</w:t>
            </w:r>
          </w:p>
          <w:p>
            <w:pPr>
              <w:pStyle w:val="Normal"/>
              <w:spacing w:lineRule="auto" w:line="240"/>
              <w:ind w:left="0" w:right="0" w:firstLine="743"/>
              <w:jc w:val="both"/>
              <w:rPr/>
            </w:pPr>
            <w:r>
              <w:rPr>
                <w:rFonts w:eastAsia="Times New Roman" w:cs="Times New Roman"/>
                <w:b w:val="false"/>
                <w:i w:val="false"/>
                <w:iCs w:val="false"/>
                <w:color w:val="auto"/>
                <w:kern w:val="0"/>
                <w:sz w:val="28"/>
                <w:szCs w:val="28"/>
                <w:lang w:val="ru-RU" w:eastAsia="ru-RU" w:bidi="ar-SA"/>
              </w:rPr>
              <w:t xml:space="preserve">- подпунктом 19) пункта 2.6. </w:t>
            </w:r>
            <w:r>
              <w:rPr>
                <w:rFonts w:eastAsia="Times New Roman" w:cs="Times New Roman"/>
                <w:b w:val="false"/>
                <w:bCs w:val="false"/>
                <w:i w:val="false"/>
                <w:iCs w:val="false"/>
                <w:color w:val="auto"/>
                <w:kern w:val="0"/>
                <w:sz w:val="28"/>
                <w:szCs w:val="28"/>
                <w:lang w:val="ru-RU" w:eastAsia="ru-RU" w:bidi="ar-SA"/>
              </w:rPr>
              <w:t>«</w:t>
            </w:r>
            <w:r>
              <w:rPr>
                <w:rStyle w:val="Style17"/>
                <w:rFonts w:eastAsia="Times New Roman" w:cs="Times New Roman"/>
                <w:b w:val="false"/>
                <w:bCs w:val="false"/>
                <w:i w:val="false"/>
                <w:iCs w:val="false"/>
                <w:color w:val="auto"/>
                <w:spacing w:val="2"/>
                <w:kern w:val="0"/>
                <w:sz w:val="28"/>
                <w:szCs w:val="28"/>
                <w:u w:val="none"/>
                <w:lang w:val="ru-RU" w:eastAsia="en-US" w:bidi="ar-SA"/>
              </w:rPr>
              <w:t>заявитель должен быть зарегистрированным в Федеральной государственной информа</w:t>
            </w:r>
            <w:r>
              <w:rPr>
                <w:rStyle w:val="Style17"/>
                <w:rFonts w:eastAsia="Times New Roman" w:cs="Times New Roman"/>
                <w:b w:val="false"/>
                <w:bCs w:val="false"/>
                <w:i w:val="false"/>
                <w:iCs w:val="false"/>
                <w:color w:val="auto"/>
                <w:spacing w:val="2"/>
                <w:kern w:val="0"/>
                <w:sz w:val="28"/>
                <w:szCs w:val="28"/>
                <w:highlight w:val="white"/>
                <w:u w:val="none"/>
                <w:lang w:val="ru-RU" w:eastAsia="en-US" w:bidi="ar-SA"/>
              </w:rPr>
              <w:t>ционной системе в области ветеринарии «Меркурий» (далее – ФГИС «Меркурий») и соблюдать требования на перемещение (перевозку) сельскохозяйственных животных                    и продукци</w:t>
            </w: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и животноводства, с получением соответствующих ветеринарно - сопроводительных документов, оформленных с использованием ФГИС «Меркурий» (кроме получателей субсидий на возмещение части затрат на строительство теплиц и приобретения систем капельного орошения);</w:t>
            </w:r>
          </w:p>
          <w:p>
            <w:pPr>
              <w:pStyle w:val="Normal"/>
              <w:spacing w:lineRule="auto" w:line="240"/>
              <w:ind w:left="0" w:right="0" w:firstLine="743"/>
              <w:jc w:val="both"/>
              <w:rPr/>
            </w:pP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 xml:space="preserve">- новым абзацем Пункта 2.7 </w:t>
            </w:r>
            <w:r>
              <w:rPr>
                <w:rStyle w:val="Style17"/>
                <w:rFonts w:eastAsia="Calibri" w:cs="Times New Roman"/>
                <w:b w:val="false"/>
                <w:bCs w:val="false"/>
                <w:i w:val="false"/>
                <w:iCs w:val="false"/>
                <w:color w:val="000000"/>
                <w:spacing w:val="2"/>
                <w:kern w:val="0"/>
                <w:sz w:val="28"/>
                <w:szCs w:val="28"/>
                <w:highlight w:val="white"/>
                <w:u w:val="none"/>
                <w:lang w:val="ru-RU" w:eastAsia="en-US" w:bidi="ar-SA"/>
              </w:rPr>
              <w:t xml:space="preserve"> «заявитель регистрирован в ФГИС «Меркурий» и </w:t>
            </w:r>
            <w:r>
              <w:rPr>
                <w:rStyle w:val="Style17"/>
                <w:rFonts w:eastAsia="Times New Roman" w:cs="Times New Roman"/>
                <w:b w:val="false"/>
                <w:bCs w:val="false"/>
                <w:i w:val="false"/>
                <w:iCs w:val="false"/>
                <w:color w:val="auto"/>
                <w:spacing w:val="2"/>
                <w:kern w:val="0"/>
                <w:sz w:val="28"/>
                <w:szCs w:val="28"/>
                <w:highlight w:val="white"/>
                <w:u w:val="none"/>
                <w:lang w:val="ru-RU" w:eastAsia="en-US" w:bidi="ar-SA"/>
              </w:rPr>
              <w:t>соблюдает требования на перемещение (перевозку) сельскохозяйственных животных и продукции животноводства, с получением соответствующих ветеринарно - сопроводительных документов, оформленных с использованием ФГИС «Меркурий»;</w:t>
            </w:r>
          </w:p>
          <w:p>
            <w:pPr>
              <w:pStyle w:val="Normal"/>
              <w:spacing w:lineRule="auto" w:line="240"/>
              <w:ind w:left="0" w:right="0" w:firstLine="743"/>
              <w:jc w:val="both"/>
              <w:rPr/>
            </w:pPr>
            <w:r>
              <w:rPr>
                <w:rStyle w:val="Style17"/>
                <w:rFonts w:eastAsia="Times New Roman" w:cs="Times New Roman"/>
                <w:b w:val="false"/>
                <w:bCs w:val="false"/>
                <w:i w:val="false"/>
                <w:iCs w:val="false"/>
                <w:color w:val="auto"/>
                <w:spacing w:val="2"/>
                <w:kern w:val="0"/>
                <w:sz w:val="28"/>
                <w:szCs w:val="28"/>
                <w:highlight w:val="white"/>
                <w:u w:val="none"/>
                <w:lang w:val="ru-RU" w:eastAsia="ru-RU" w:bidi="ar-SA"/>
              </w:rPr>
              <w:t>- пункт 2.7.2 дополнился абзацем «</w:t>
            </w:r>
            <w:r>
              <w:rPr>
                <w:rStyle w:val="Style17"/>
                <w:rFonts w:eastAsia="Calibri" w:cs="Times New Roman"/>
                <w:b w:val="false"/>
                <w:bCs w:val="false"/>
                <w:i w:val="false"/>
                <w:iCs w:val="false"/>
                <w:color w:val="auto"/>
                <w:spacing w:val="2"/>
                <w:kern w:val="0"/>
                <w:sz w:val="28"/>
                <w:szCs w:val="28"/>
                <w:highlight w:val="white"/>
                <w:u w:val="none"/>
                <w:lang w:val="ru-RU" w:eastAsia="en-US" w:bidi="ar-SA"/>
              </w:rPr>
              <w:t>документ, подтверждающий ветеринарно - санитарное благополучие на молочных фермах поставщиков (справка о ветеринарно - санитарном благополучии на молочных фермах поставщиков, заверенная государственным бюджетным учреждением Краснодарского края «Управление ветеринарии Курганинского района), согласно приложению № 36 к настоящему Порядку».</w:t>
            </w:r>
          </w:p>
          <w:p>
            <w:pPr>
              <w:pStyle w:val="Normal"/>
              <w:spacing w:lineRule="auto" w:line="240" w:before="0" w:after="0"/>
              <w:ind w:right="-1" w:firstLine="708"/>
              <w:contextualSpacing/>
              <w:jc w:val="both"/>
              <w:rPr/>
            </w:pPr>
            <w:r>
              <w:rPr>
                <w:rStyle w:val="Style17"/>
                <w:rFonts w:eastAsia="Calibri" w:cs="Times New Roman"/>
                <w:b w:val="false"/>
                <w:bCs w:val="false"/>
                <w:i w:val="false"/>
                <w:iCs w:val="false"/>
                <w:color w:val="auto"/>
                <w:spacing w:val="2"/>
                <w:kern w:val="0"/>
                <w:sz w:val="28"/>
                <w:szCs w:val="28"/>
                <w:highlight w:val="white"/>
                <w:u w:val="none"/>
                <w:lang w:val="ru-RU" w:eastAsia="en-US" w:bidi="ar-SA"/>
              </w:rPr>
              <w:t>Для получения субсидий на возмещение части затрат                                 на строительство теплиц для выращивания овощей и (или) ягод защищенного грунта дополнительно представляется:</w:t>
            </w:r>
          </w:p>
          <w:p>
            <w:pPr>
              <w:pStyle w:val="Normal"/>
              <w:spacing w:before="0" w:after="0"/>
              <w:ind w:right="-1" w:firstLine="708"/>
              <w:contextualSpacing/>
              <w:jc w:val="center"/>
              <w:rPr/>
            </w:pPr>
            <w:r>
              <w:rPr>
                <w:rFonts w:eastAsia="Calibri"/>
                <w:b w:val="false"/>
                <w:bCs w:val="false"/>
                <w:sz w:val="28"/>
                <w:szCs w:val="28"/>
                <w:lang w:eastAsia="en-US"/>
              </w:rPr>
              <w:t>5</w:t>
            </w:r>
          </w:p>
          <w:p>
            <w:pPr>
              <w:pStyle w:val="Normal"/>
              <w:spacing w:before="0" w:after="0"/>
              <w:ind w:right="-1" w:firstLine="708"/>
              <w:contextualSpacing/>
              <w:jc w:val="both"/>
              <w:rPr/>
            </w:pPr>
            <w:r>
              <w:rPr>
                <w:rFonts w:eastAsia="Calibri"/>
                <w:b w:val="false"/>
                <w:bCs w:val="false"/>
                <w:sz w:val="28"/>
                <w:szCs w:val="28"/>
                <w:lang w:eastAsia="en-US"/>
              </w:rPr>
              <w:t>документальное подтверждение обследования земельного участка,                       на котором планируется строительство теплицы (акт обследования земельного</w:t>
            </w:r>
            <w:r>
              <w:rPr>
                <w:rFonts w:eastAsia="Calibri"/>
                <w:b/>
                <w:sz w:val="28"/>
                <w:szCs w:val="28"/>
                <w:lang w:eastAsia="en-US"/>
              </w:rPr>
              <w:t xml:space="preserve"> </w:t>
            </w:r>
            <w:r>
              <w:rPr>
                <w:rFonts w:eastAsia="Calibri"/>
                <w:b w:val="false"/>
                <w:bCs w:val="false"/>
                <w:sz w:val="28"/>
                <w:szCs w:val="28"/>
                <w:lang w:eastAsia="en-US"/>
              </w:rPr>
              <w:t>участка комиссией сельского (городского) поселения, заверенный главой администрации сельского (городского) поселения);</w:t>
            </w:r>
          </w:p>
          <w:p>
            <w:pPr>
              <w:pStyle w:val="Normal"/>
              <w:spacing w:before="0" w:after="0"/>
              <w:ind w:right="-1" w:firstLine="708"/>
              <w:contextualSpacing/>
              <w:jc w:val="both"/>
              <w:rPr/>
            </w:pPr>
            <w:r>
              <w:rPr>
                <w:rFonts w:eastAsia="Calibri"/>
                <w:b w:val="false"/>
                <w:bCs w:val="false"/>
                <w:sz w:val="28"/>
                <w:szCs w:val="28"/>
                <w:lang w:eastAsia="en-US"/>
              </w:rPr>
              <w:t>документальное подтверждение заявителем факта завершения монтажа теплицы не ранее 30 календарных дней до даты подачи заявки о предоставлении субсидии (акт обследования монтажа теплицы комиссией сельского (городского) поселения, заверенный главой администрации сельского (городского) поселения);</w:t>
            </w:r>
          </w:p>
          <w:p>
            <w:pPr>
              <w:pStyle w:val="Normal"/>
              <w:spacing w:before="0" w:after="0"/>
              <w:ind w:right="-1" w:firstLine="708"/>
              <w:contextualSpacing/>
              <w:jc w:val="both"/>
              <w:rPr/>
            </w:pPr>
            <w:r>
              <w:rPr>
                <w:rFonts w:eastAsia="Calibri"/>
                <w:b w:val="false"/>
                <w:bCs w:val="false"/>
                <w:sz w:val="28"/>
                <w:szCs w:val="28"/>
                <w:lang w:eastAsia="en-US"/>
              </w:rPr>
              <w:t>документ, подтверждающий эксплуатацию теплицы по целевому назначению не ранее 30 календарных дней до даты подачи заявки (акт является документом, подтверждающим использование теплицы по целевому назначению, сельского (городского) поселения, заверенный главой администрации сельского (городского) поселения).</w:t>
            </w:r>
          </w:p>
          <w:p>
            <w:pPr>
              <w:pStyle w:val="Normal"/>
              <w:spacing w:before="0" w:after="0"/>
              <w:ind w:right="-1" w:firstLine="708"/>
              <w:contextualSpacing/>
              <w:jc w:val="both"/>
              <w:rPr/>
            </w:pPr>
            <w:r>
              <w:rPr>
                <w:rFonts w:eastAsia="Calibri"/>
                <w:b w:val="false"/>
                <w:bCs w:val="false"/>
                <w:sz w:val="28"/>
                <w:szCs w:val="28"/>
                <w:lang w:eastAsia="en-US"/>
              </w:rPr>
              <w:t>Заявитель принимает на себя обязательства по эксплуатации субсидированной теплицы в течении последующих 60 месяцев и б</w:t>
            </w:r>
            <w:r>
              <w:rPr>
                <w:b w:val="false"/>
                <w:bCs w:val="false"/>
                <w:sz w:val="28"/>
                <w:szCs w:val="28"/>
              </w:rPr>
              <w:t>ерет                   на себя ответственность за сохранность площадей (кв.м) просубсидированной (ных) теплиц(ы) в течении последующих 60 месяцев.</w:t>
            </w:r>
          </w:p>
          <w:p>
            <w:pPr>
              <w:pStyle w:val="Normal"/>
              <w:spacing w:lineRule="auto" w:line="240" w:before="0" w:after="0"/>
              <w:ind w:right="-1" w:firstLine="708"/>
              <w:contextualSpacing/>
              <w:jc w:val="both"/>
              <w:rPr/>
            </w:pPr>
            <w:r>
              <w:rPr>
                <w:rStyle w:val="Style17"/>
                <w:rFonts w:eastAsia="Calibri" w:cs="Times New Roman"/>
                <w:b w:val="false"/>
                <w:bCs w:val="false"/>
                <w:i w:val="false"/>
                <w:iCs w:val="false"/>
                <w:color w:val="auto"/>
                <w:spacing w:val="2"/>
                <w:kern w:val="0"/>
                <w:sz w:val="28"/>
                <w:szCs w:val="28"/>
                <w:highlight w:val="white"/>
                <w:u w:val="none"/>
                <w:lang w:val="ru-RU" w:eastAsia="en-US" w:bidi="ar-SA"/>
              </w:rPr>
              <w:t>В случае утраты теплицы, за которую получена субсидия                            на возмещение части затрат на строительство теплиц, в результате наступления непреодолимой силы, заявитель принимает на себя обязательства восстановить теплицу в течении 12 месяцев с даты установления указанного события (акт обследования теплицы комиссией сельского (городского) поселения                          на территории которого расположена теплица, заверенный главой администрации сельского (городского) поселения) и обеспечивает дальнейшую сохранность.</w:t>
            </w:r>
          </w:p>
          <w:p>
            <w:pPr>
              <w:pStyle w:val="Normal"/>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    </w:t>
            </w:r>
            <w:r>
              <w:rPr>
                <w:color w:val="000000"/>
                <w:sz w:val="28"/>
                <w:szCs w:val="28"/>
              </w:rPr>
              <w:t>5.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rPr>
              <w:t xml:space="preserve">     </w:t>
            </w:r>
            <w:r>
              <w:rPr>
                <w:sz w:val="28"/>
                <w:szCs w:val="28"/>
              </w:rPr>
              <w:t xml:space="preserve">6. </w:t>
            </w:r>
            <w:r>
              <w:rPr>
                <w:rFonts w:cs="Times New Roman"/>
                <w:sz w:val="28"/>
                <w:szCs w:val="28"/>
              </w:rPr>
              <w:t xml:space="preserve">Дополнительные расходы бюджета </w:t>
            </w:r>
            <w:r>
              <w:rPr>
                <w:rFonts w:eastAsia="Times New Roman" w:cs="Times New Roman"/>
                <w:color w:val="auto"/>
                <w:kern w:val="0"/>
                <w:sz w:val="28"/>
                <w:szCs w:val="28"/>
                <w:lang w:val="ru-RU" w:eastAsia="ru-RU" w:bidi="ar-SA"/>
              </w:rPr>
              <w:t>МО</w:t>
            </w:r>
            <w:r>
              <w:rPr>
                <w:rFonts w:cs="Times New Roman"/>
                <w:sz w:val="28"/>
                <w:szCs w:val="28"/>
              </w:rPr>
              <w:t xml:space="preserve"> Курганинский район, а также </w:t>
            </w:r>
            <w:r>
              <w:rPr>
                <w:rFonts w:eastAsia="Times New Roman" w:cs="Times New Roman"/>
                <w:color w:val="auto"/>
                <w:kern w:val="0"/>
                <w:sz w:val="28"/>
                <w:szCs w:val="28"/>
                <w:lang w:val="ru-RU" w:eastAsia="ru-RU" w:bidi="ar-SA"/>
              </w:rPr>
              <w:t>расходы субъектов предпринимательской и инвестиционной деятельности,</w:t>
            </w:r>
            <w:r>
              <w:rPr>
                <w:rFonts w:cs="Times New Roman"/>
                <w:sz w:val="28"/>
                <w:szCs w:val="28"/>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lang w:val="ru-RU" w:eastAsia="ru-RU" w:bidi="ar-SA"/>
              </w:rPr>
              <w:t xml:space="preserve">НПА </w:t>
            </w:r>
            <w:r>
              <w:rPr>
                <w:rFonts w:cs="Times New Roman"/>
                <w:sz w:val="28"/>
                <w:szCs w:val="28"/>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9 по 20 октября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w:t>
            </w:r>
            <w:r>
              <w:rPr>
                <w:rFonts w:eastAsia="Times New Roman" w:cs="Times New Roman"/>
                <w:color w:val="auto"/>
                <w:kern w:val="0"/>
                <w:sz w:val="28"/>
                <w:szCs w:val="28"/>
                <w:lang w:val="ru-RU" w:eastAsia="ru-RU" w:bidi="ar-SA"/>
              </w:rPr>
              <w:t>МО</w:t>
            </w:r>
            <w:r>
              <w:rPr>
                <w:sz w:val="28"/>
                <w:szCs w:val="28"/>
              </w:rPr>
              <w:t xml:space="preserve">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w:t>
            </w:r>
          </w:p>
          <w:p>
            <w:pPr>
              <w:pStyle w:val="Normal"/>
              <w:tabs>
                <w:tab w:val="clear" w:pos="708"/>
                <w:tab w:val="left" w:pos="5387" w:leader="none"/>
              </w:tabs>
              <w:spacing w:lineRule="auto" w:line="240"/>
              <w:jc w:val="both"/>
              <w:rPr>
                <w:sz w:val="28"/>
                <w:szCs w:val="28"/>
              </w:rPr>
            </w:pPr>
            <w:r>
              <w:rPr>
                <w:sz w:val="28"/>
                <w:szCs w:val="28"/>
              </w:rPr>
            </w:r>
          </w:p>
          <w:p>
            <w:pPr>
              <w:pStyle w:val="Normal"/>
              <w:tabs>
                <w:tab w:val="clear" w:pos="708"/>
                <w:tab w:val="left" w:pos="5387" w:leader="none"/>
              </w:tabs>
              <w:spacing w:lineRule="auto" w:line="240"/>
              <w:jc w:val="center"/>
              <w:rPr/>
            </w:pPr>
            <w:r>
              <w:rPr>
                <w:sz w:val="28"/>
                <w:szCs w:val="28"/>
              </w:rPr>
              <w:t>6</w:t>
            </w:r>
          </w:p>
          <w:p>
            <w:pPr>
              <w:pStyle w:val="Normal"/>
              <w:tabs>
                <w:tab w:val="clear" w:pos="708"/>
                <w:tab w:val="left" w:pos="5387" w:leader="none"/>
              </w:tabs>
              <w:spacing w:lineRule="auto" w:line="240"/>
              <w:jc w:val="both"/>
              <w:rPr/>
            </w:pPr>
            <w:r>
              <w:rPr>
                <w:sz w:val="28"/>
                <w:szCs w:val="28"/>
              </w:rPr>
              <w:t xml:space="preserve">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w:t>
            </w:r>
            <w:r>
              <w:rPr>
                <w:rFonts w:eastAsia="Times New Roman" w:cs="Times New Roman"/>
                <w:color w:val="auto"/>
                <w:kern w:val="0"/>
                <w:sz w:val="28"/>
                <w:szCs w:val="28"/>
                <w:lang w:val="ru-RU" w:eastAsia="ru-RU" w:bidi="ar-SA"/>
              </w:rPr>
              <w:t>Л.Е.</w:t>
            </w:r>
            <w:r>
              <w:rPr>
                <w:sz w:val="28"/>
                <w:szCs w:val="28"/>
              </w:rPr>
              <w:t xml:space="preserve">, индивидуального предпринимателя Кудрявцевой </w:t>
            </w:r>
            <w:r>
              <w:rPr>
                <w:rFonts w:eastAsia="Times New Roman" w:cs="Times New Roman"/>
                <w:color w:val="auto"/>
                <w:kern w:val="0"/>
                <w:sz w:val="28"/>
                <w:szCs w:val="28"/>
                <w:lang w:val="ru-RU" w:eastAsia="ru-RU" w:bidi="ar-SA"/>
              </w:rPr>
              <w:t>Е.А.</w:t>
            </w:r>
            <w:r>
              <w:rPr>
                <w:sz w:val="28"/>
                <w:szCs w:val="28"/>
              </w:rPr>
              <w:t xml:space="preserve">, индивидуального  предпринимателя    Разина </w:t>
            </w:r>
            <w:r>
              <w:rPr>
                <w:rFonts w:eastAsia="Times New Roman" w:cs="Times New Roman"/>
                <w:color w:val="auto"/>
                <w:kern w:val="0"/>
                <w:sz w:val="28"/>
                <w:szCs w:val="28"/>
                <w:lang w:val="ru-RU" w:eastAsia="ru-RU" w:bidi="ar-SA"/>
              </w:rPr>
              <w:t>В.Ю.</w:t>
            </w:r>
            <w:r>
              <w:rPr>
                <w:sz w:val="28"/>
                <w:szCs w:val="28"/>
              </w:rPr>
              <w:t>, д</w:t>
            </w:r>
            <w:r>
              <w:rPr>
                <w:rStyle w:val="0pt"/>
                <w:rFonts w:eastAsia="Calibri"/>
                <w:sz w:val="28"/>
                <w:szCs w:val="28"/>
              </w:rPr>
              <w:t xml:space="preserve">иректора </w:t>
            </w:r>
          </w:p>
          <w:p>
            <w:pPr>
              <w:pStyle w:val="Normal"/>
              <w:tabs>
                <w:tab w:val="clear" w:pos="708"/>
                <w:tab w:val="left" w:pos="5387" w:leader="none"/>
              </w:tabs>
              <w:spacing w:lineRule="auto" w:line="240"/>
              <w:jc w:val="both"/>
              <w:rPr/>
            </w:pPr>
            <w:r>
              <w:rPr>
                <w:rStyle w:val="0pt"/>
                <w:rFonts w:eastAsia="Calibri"/>
                <w:sz w:val="28"/>
                <w:szCs w:val="28"/>
              </w:rPr>
              <w:t>общества с ограниченной ответственностью «Центр молодежного инновационного творчества «Перспектива»</w:t>
            </w:r>
            <w:r>
              <w:rPr>
                <w:sz w:val="28"/>
                <w:szCs w:val="28"/>
              </w:rPr>
              <w:t xml:space="preserve">   Попко </w:t>
            </w:r>
            <w:r>
              <w:rPr>
                <w:rFonts w:eastAsia="Times New Roman" w:cs="Times New Roman"/>
                <w:color w:val="auto"/>
                <w:kern w:val="0"/>
                <w:sz w:val="28"/>
                <w:szCs w:val="28"/>
                <w:lang w:val="ru-RU" w:eastAsia="ru-RU" w:bidi="ar-SA"/>
              </w:rPr>
              <w:t xml:space="preserve">К.С. </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r>
                </w:p>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 xml:space="preserve">В.А. Гализина </w:t>
                  </w:r>
                  <w:r>
                    <w:rPr>
                      <w:sz w:val="28"/>
                      <w:szCs w:val="28"/>
                    </w:rPr>
                    <w:t xml:space="preserve">                                 27 октября 2023 г.                     ______________</w:t>
                  </w:r>
                </w:p>
              </w:tc>
            </w:tr>
            <w:tr>
              <w:trPr/>
              <w:tc>
                <w:tcPr>
                  <w:tcW w:w="9923" w:type="dxa"/>
                  <w:tcBorders/>
                  <w:shd w:fill="auto" w:val="clear"/>
                </w:tcPr>
                <w:p>
                  <w:pPr>
                    <w:pStyle w:val="Style28"/>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15" w:type="dxa"/>
            <w:tcBorders/>
            <w:shd w:fill="auto" w:val="clear"/>
            <w:tcMar>
              <w:top w:w="0" w:type="dxa"/>
              <w:left w:w="113" w:type="dxa"/>
              <w:bottom w:w="0" w:type="dxa"/>
              <w:right w:w="108" w:type="dxa"/>
            </w:tcMar>
          </w:tcPr>
          <w:p>
            <w:pPr>
              <w:pStyle w:val="Normal"/>
              <w:tabs>
                <w:tab w:val="clear" w:pos="708"/>
                <w:tab w:val="left" w:pos="867" w:leader="none"/>
                <w:tab w:val="left" w:pos="5387" w:leader="none"/>
              </w:tabs>
              <w:jc w:val="both"/>
              <w:rPr>
                <w:sz w:val="28"/>
                <w:szCs w:val="28"/>
              </w:rPr>
            </w:pPr>
            <w:r>
              <w:rPr>
                <w:sz w:val="28"/>
                <w:szCs w:val="28"/>
              </w:rPr>
            </w:r>
          </w:p>
        </w:tc>
      </w:tr>
      <w:tr>
        <w:trPr/>
        <w:tc>
          <w:tcPr>
            <w:tcW w:w="9915" w:type="dxa"/>
            <w:tcBorders/>
            <w:shd w:fill="auto" w:val="clear"/>
            <w:tcMar>
              <w:top w:w="0" w:type="dxa"/>
              <w:left w:w="113" w:type="dxa"/>
              <w:bottom w:w="0" w:type="dxa"/>
              <w:right w:w="108" w:type="dxa"/>
            </w:tcMar>
          </w:tcPr>
          <w:p>
            <w:pPr>
              <w:pStyle w:val="Style28"/>
              <w:rPr>
                <w:rFonts w:ascii="Times New Roman" w:hAnsi="Times New Roman" w:cs="Times New Roman"/>
                <w:sz w:val="28"/>
                <w:szCs w:val="28"/>
              </w:rPr>
            </w:pPr>
            <w:r>
              <w:rPr>
                <w:rFonts w:cs="Times New Roman" w:ascii="Times New Roman" w:hAnsi="Times New Roman"/>
                <w:sz w:val="28"/>
                <w:szCs w:val="28"/>
              </w:rPr>
            </w:r>
          </w:p>
        </w:tc>
      </w:tr>
      <w:tr>
        <w:trPr/>
        <w:tc>
          <w:tcPr>
            <w:tcW w:w="9915" w:type="dxa"/>
            <w:tcBorders/>
            <w:shd w:fill="auto" w:val="clear"/>
            <w:tcMar>
              <w:top w:w="0" w:type="dxa"/>
              <w:left w:w="113" w:type="dxa"/>
              <w:bottom w:w="0" w:type="dxa"/>
              <w:right w:w="108" w:type="dxa"/>
            </w:tcMar>
          </w:tcPr>
          <w:p>
            <w:pPr>
              <w:pStyle w:val="Normal"/>
              <w:rPr>
                <w:sz w:val="28"/>
                <w:szCs w:val="28"/>
              </w:rPr>
            </w:pPr>
            <w:r>
              <w:rPr>
                <w:sz w:val="28"/>
                <w:szCs w:val="28"/>
              </w:rPr>
            </w:r>
          </w:p>
        </w:tc>
      </w:tr>
      <w:tr>
        <w:trPr/>
        <w:tc>
          <w:tcPr>
            <w:tcW w:w="9915" w:type="dxa"/>
            <w:tcBorders/>
            <w:shd w:fill="auto" w:val="clear"/>
            <w:tcMar>
              <w:top w:w="0" w:type="dxa"/>
              <w:left w:w="113" w:type="dxa"/>
              <w:bottom w:w="0" w:type="dxa"/>
              <w:right w:w="108" w:type="dxa"/>
            </w:tcM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character" w:styleId="Style17">
    <w:name w:val="Цветовое выделение для Текст"/>
    <w:qFormat/>
    <w:rPr>
      <w:sz w:val="24"/>
    </w:rPr>
  </w:style>
  <w:style w:type="paragraph" w:styleId="Style18">
    <w:name w:val="Заголовок"/>
    <w:basedOn w:val="Normal"/>
    <w:next w:val="Style19"/>
    <w:qFormat/>
    <w:pPr>
      <w:keepNext w:val="true"/>
      <w:spacing w:before="240" w:after="120"/>
    </w:pPr>
    <w:rPr>
      <w:rFonts w:ascii="Liberation Sans" w:hAnsi="Liberation Sans" w:eastAsia="Droid Sans Fallback" w:cs="DejaVu Sans"/>
      <w:sz w:val="28"/>
      <w:szCs w:val="28"/>
    </w:rPr>
  </w:style>
  <w:style w:type="paragraph" w:styleId="Style19">
    <w:name w:val="Body Text"/>
    <w:basedOn w:val="Normal"/>
    <w:pPr>
      <w:jc w:val="both"/>
    </w:pPr>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Style23">
    <w:name w:val="Верхний и нижний колонтитулы"/>
    <w:basedOn w:val="Normal"/>
    <w:qFormat/>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6">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7">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8">
    <w:name w:val="Нормальный (таблица)"/>
    <w:basedOn w:val="Normal"/>
    <w:qFormat/>
    <w:pPr>
      <w:widowControl w:val="false"/>
      <w:jc w:val="both"/>
    </w:pPr>
    <w:rPr>
      <w:rFonts w:ascii="Arial" w:hAnsi="Arial" w:cs="Arial"/>
    </w:rPr>
  </w:style>
  <w:style w:type="paragraph" w:styleId="Style29">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30">
    <w:name w:val="Заголовок списка"/>
    <w:basedOn w:val="Normal"/>
    <w:qFormat/>
    <w:pPr>
      <w:ind w:left="0" w:right="0" w:hanging="0"/>
    </w:pPr>
    <w:rPr/>
  </w:style>
  <w:style w:type="paragraph" w:styleId="Style31">
    <w:name w:val="Содержимое списка"/>
    <w:basedOn w:val="Normal"/>
    <w:qFormat/>
    <w:pPr>
      <w:ind w:left="567" w:right="0" w:hanging="0"/>
    </w:pPr>
    <w:rPr/>
  </w:style>
  <w:style w:type="paragraph" w:styleId="Style32">
    <w:name w:val="Обычный (Интернет)"/>
    <w:basedOn w:val="Normal"/>
    <w:qFormat/>
    <w:pPr>
      <w:spacing w:before="280" w:after="280"/>
    </w:pPr>
    <w:rPr/>
  </w:style>
  <w:style w:type="paragraph" w:styleId="Style33">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1460</TotalTime>
  <Application>LibreOffice/6.3.6.2$Linux_X86_64 LibreOffice_project/30$Build-2</Application>
  <Pages>6</Pages>
  <Words>1475</Words>
  <Characters>12046</Characters>
  <CharactersWithSpaces>14695</CharactersWithSpaces>
  <Paragraphs>71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2023-11-13T10:19:52Z</cp:lastPrinted>
  <dcterms:modified xsi:type="dcterms:W3CDTF">2023-11-13T10:30:26Z</dcterms:modified>
  <cp:revision>74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