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70" w:type="dxa"/>
        <w:jc w:val="left"/>
        <w:tblInd w:w="-15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70"/>
      </w:tblGrid>
      <w:tr>
        <w:trPr>
          <w:trHeight w:val="6804" w:hRule="atLeast"/>
        </w:trPr>
        <w:tc>
          <w:tcPr>
            <w:tcW w:w="9870" w:type="dxa"/>
            <w:tcBorders/>
            <w:shd w:fill="auto" w:val="clear"/>
          </w:tcPr>
          <w:tbl>
            <w:tblPr>
              <w:tblW w:w="9645" w:type="dxa"/>
              <w:jc w:val="left"/>
              <w:tblInd w:w="32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5"/>
            </w:tblGrid>
            <w:tr>
              <w:trPr>
                <w:trHeight w:val="68" w:hRule="atLeast"/>
              </w:trPr>
              <w:tc>
                <w:tcPr>
                  <w:tcW w:w="9645" w:type="dxa"/>
                  <w:tcBorders/>
                  <w:shd w:fill="auto" w:val="clear"/>
                </w:tcPr>
                <w:p>
                  <w:pPr>
                    <w:pStyle w:val="1"/>
                    <w:shd w:val="clear" w:fill="FFFFFF"/>
                    <w:jc w:val="center"/>
                    <w:rPr/>
                  </w:pPr>
                  <w:r>
                    <w:rPr>
                      <w:rFonts w:ascii="Times New Roman" w:hAnsi="Times New Roman"/>
                      <w:bCs w:val="false"/>
                      <w:kern w:val="0"/>
                      <w:sz w:val="28"/>
                      <w:szCs w:val="28"/>
                    </w:rPr>
                    <w:t>Заключение</w:t>
                    <w:br/>
                    <w:t>об оценке регулирующего воздействия</w:t>
                  </w:r>
                </w:p>
              </w:tc>
            </w:tr>
            <w:tr>
              <w:trPr/>
              <w:tc>
                <w:tcPr>
                  <w:tcW w:w="9645" w:type="dxa"/>
                  <w:tcBorders/>
                  <w:shd w:fill="auto" w:val="clear"/>
                </w:tcPr>
                <w:tbl>
                  <w:tblPr>
                    <w:tblW w:w="8222" w:type="dxa"/>
                    <w:jc w:val="left"/>
                    <w:tblInd w:w="674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222"/>
                  </w:tblGrid>
                  <w:tr>
                    <w:trPr>
                      <w:trHeight w:val="2895" w:hRule="atLeast"/>
                    </w:trPr>
                    <w:tc>
                      <w:tcPr>
                        <w:tcW w:w="8222" w:type="dxa"/>
                        <w:tcBorders/>
                        <w:shd w:fill="auto" w:val="clear"/>
                      </w:tcPr>
                      <w:p>
                        <w:pPr>
                          <w:pStyle w:val="1"/>
                          <w:shd w:val="clear" w:fill="FFFFFF"/>
                          <w:suppressAutoHyphens w:val="true"/>
                          <w:spacing w:before="280" w:after="0"/>
                          <w:ind w:left="0" w:right="0" w:hanging="0"/>
                          <w:jc w:val="both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lang w:val="ru-RU" w:eastAsia="ru-RU" w:bidi="ar-SA"/>
                          </w:rPr>
                          <w:t xml:space="preserve">проекта 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4"/>
                            <w:highlight w:val="white"/>
                            <w:u w:val="none"/>
                            <w:lang w:val="ru-RU" w:eastAsia="zh-CN" w:bidi="ar-SA"/>
                          </w:rPr>
                          <w:t>постановления администрации муниципального образования Курганинский район «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zh-CN" w:bidi="ar-SA"/>
                          </w:rPr>
                          <w:t>О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>б утверждении порядка формирования реестра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-13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 xml:space="preserve"> 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>субъектов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-13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 xml:space="preserve"> 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-6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 xml:space="preserve"> 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>и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-6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 xml:space="preserve"> 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>террористических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-6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 xml:space="preserve"> </w:t>
                        </w:r>
                        <w:r>
                          <w:rPr>
                            <w:rStyle w:val="Style17"/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highlight w:val="white"/>
                            <w:u w:val="none"/>
                            <w:lang w:val="ru-RU" w:eastAsia="ru-RU" w:bidi="ar-SA"/>
                          </w:rPr>
                          <w:t>актов, осуществляющих деятельность на территории муниципального образования Курганинский район».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Отдел инвестиций и стратегического развития администрации муниципального образования (далее - МО) Курганинский район как уполномоченный орган по проведению оценки регулирующего воздействия (далее - ОРВ)  проектов муниципальных нормативных правовых актов (далее - НПА) администрации МО Курганинский район, рассмотрел поступивший                   27 ноября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2023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года   проект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постановления администрации муниципального образования Курганинский район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4"/>
                <w:highlight w:val="white"/>
                <w:u w:val="none"/>
                <w:lang w:val="ru-RU" w:eastAsia="zh-CN" w:bidi="ar-SA"/>
              </w:rPr>
              <w:t>«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О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б утверждении порядка формирования реестра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-13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субъектов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-13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-6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и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-6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террористических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-6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актов, осуществляющих деятельность на территории муниципального образования Курганинский район»,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направленны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й для подготовки настоящего Заключения  отделом инвестиций и стратегического развития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администрации муниципального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образования Курганинский район (далее - разработчик) и сообщает следующее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. </w:t>
            </w:r>
          </w:p>
        </w:tc>
      </w:tr>
      <w:tr>
        <w:trPr/>
        <w:tc>
          <w:tcPr>
            <w:tcW w:w="987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В соответствии с Порядком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проведения оценки регулирующего</w:t>
            </w:r>
            <w:r>
              <w:rPr>
                <w:rStyle w:val="Style12"/>
                <w:rFonts w:eastAsia="Times New Roman" w:cs="Times New Roman"/>
                <w:b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воздействия проектов муниципальных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нормативных правовых актов администрации МО</w:t>
            </w:r>
            <w:r>
              <w:rPr>
                <w:rStyle w:val="Style12"/>
                <w:rFonts w:eastAsia="Times New Roman" w:cs="Times New Roman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Курганинский район, устанавливающих новые или изменяющих ранее предусмотренные муниципальными нормативными       правовыми актами обязательные требования для субъектов  предпринимательской и иной экономической деятельности, обязанности                 для   субъектов   инвестиционной  деятельности, 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утверждённым постановлением администрации муниципального образования      Курганинский      район от       6 июля   2022   года №    692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«Об   утверждении     Порядка     проведения    оценки   регулирующего воздействия         проектов         муниципальных   нормативных правовых   актов муниципального   образования </w:t>
            </w:r>
          </w:p>
        </w:tc>
      </w:tr>
      <w:tr>
        <w:trPr>
          <w:trHeight w:val="13950" w:hRule="atLeast"/>
        </w:trPr>
        <w:tc>
          <w:tcPr>
            <w:tcW w:w="9870" w:type="dxa"/>
            <w:tcBorders/>
            <w:shd w:fill="FFFFFF" w:val="clear"/>
          </w:tcPr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Курганинский район, устанавливающих новые или  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 обязанности    для    субъектов     инвестиционной 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деятельности» (далее - Порядок)   </w:t>
            </w:r>
            <w:r>
              <w:rPr>
                <w:sz w:val="28"/>
                <w:szCs w:val="28"/>
              </w:rPr>
              <w:t xml:space="preserve">проект подлежит проведению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По   результатам   рассмотрения   установлено, что при подготовке проекта требования Порядка разработчиком соблюдены.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Проект направлен разработчиком для проведения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 xml:space="preserve"> впервые.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Проведён анализ результатов исследований,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проблемы,               а также эффективности способов решения проблемы в сравнении                                 с действующим на момент проведения процедуры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 xml:space="preserve"> правовым регулированием рассматриваемой сферы общественных отношений.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Разработчиком предложен один вариант правового регулирования - принятие муниципального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НПА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проекта постановления администрации муниципального образования Курганинский район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4"/>
                <w:highlight w:val="white"/>
                <w:u w:val="none"/>
                <w:lang w:val="ru-RU" w:eastAsia="zh-CN" w:bidi="ar-SA"/>
              </w:rPr>
              <w:t>«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О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б утверждении порядка формирования реестра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-13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субъектов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-13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предпринимательской деятельности                         и физических лиц, применяющих специальный налоговый режим «налог                         на профессиональный доход», пострадавших в результате обстрелов со стороны вооруженных формирований Украины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-6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и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-6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террористических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-6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highlight w:val="white"/>
                <w:u w:val="none"/>
                <w:lang w:val="ru-RU" w:eastAsia="ru-RU" w:bidi="ar-SA"/>
              </w:rPr>
              <w:t>актов, осуществляющих деятельность на территории муниципального образования Курганинский район».</w:t>
            </w:r>
          </w:p>
          <w:p>
            <w:pPr>
              <w:pStyle w:val="ConsPlusNonformat"/>
              <w:spacing w:lineRule="auto" w:line="240"/>
              <w:ind w:left="0" w:right="0" w:firstLine="567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В качестве альтернативы рассмотрен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вариант непринятия муниципального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НПА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последствий.  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240"/>
              <w:ind w:left="0" w:right="0" w:firstLine="601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Проведена оценка эффективности предложенных регулирующим органом вариантов правового регулирования, основанных на сведениях, содержащихся                    в соответствующих разделах сводного отчёта, и установлено следующее: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- проблема, на решение которой направлено правовое регулирование, сформулирована точно;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определены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потенциальные адресаты предполагаемого правового регулирования - физические и юридические лица, осуществляющие свою деятельность на территории муниципального образования Курганинский район;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цель предлагаемого правового регулирования разработчиком определена объективно;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практическая реализуемость заявленных целей предполагаемого правового регулирования будет достигнута;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 сроки достижения заявленной цели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декабрь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2023 год и все последующие, в  мониторинге достижения целей не нуждается;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оценка    дополнительных     расходов   и    доходов  потенциальных лиц,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участвующих  в   правоотношениях,    подлежащих    правовому  регулированию,                 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и расходов местного бюджета, связанных с  введением   предлагаемого   правового регулирования определена корректно; </w:t>
            </w:r>
          </w:p>
          <w:p>
            <w:pPr>
              <w:pStyle w:val="Normal"/>
              <w:spacing w:lineRule="auto" w:line="240"/>
              <w:ind w:left="0" w:right="0" w:firstLine="743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по мнению разработчика при принятии предлагаемого правового регулирования неблагоприятные последствия не наступят.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Выявленная проблема может быть решена исключительно посредством принятия предлагаемого правового регулирования.</w:t>
            </w:r>
          </w:p>
          <w:p>
            <w:pPr>
              <w:pStyle w:val="Normal"/>
              <w:shd w:val="clear" w:fill="FFFFFF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В соответствии с   Порядком установлено следующее:</w:t>
            </w:r>
          </w:p>
          <w:p>
            <w:pPr>
              <w:pStyle w:val="Normal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 Потенциальные    группы    участников    общественных     отношений, интересы  которых    могут   быть   затронуты   правовым регулированием                  в части прав   и   обязанностей    субъектов    предпринимательской                             и инвестиционной деятельнос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ти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физические и юридические лица, осуществляющие свою деятельность на территории муниципального образования Курганинский район.</w:t>
            </w:r>
          </w:p>
          <w:p>
            <w:pPr>
              <w:pStyle w:val="1"/>
              <w:shd w:val="clear" w:fill="FFFFFF"/>
              <w:spacing w:lineRule="auto" w:line="240"/>
              <w:ind w:left="0" w:right="0" w:firstLine="743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2.  Проблема, на решение которой направлено правовое регулирование:</w:t>
            </w:r>
          </w:p>
          <w:tbl>
            <w:tblPr>
              <w:tblW w:w="9950" w:type="dxa"/>
              <w:jc w:val="left"/>
              <w:tblInd w:w="-11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50"/>
            </w:tblGrid>
            <w:tr>
              <w:trPr>
                <w:trHeight w:val="3630" w:hRule="atLeast"/>
              </w:trPr>
              <w:tc>
                <w:tcPr>
                  <w:tcW w:w="99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0" w:firstLine="709"/>
                    <w:jc w:val="both"/>
                    <w:rPr/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отсутствие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механизма формирования, ведения и внесения изменений                  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val="ru-RU" w:eastAsia="zh-CN" w:bidi="ar-SA"/>
                    </w:rPr>
                    <w:t>Курганинский район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Normal"/>
                    <w:shd w:val="clear" w:fill="FFFFFF"/>
                    <w:spacing w:lineRule="auto" w:line="240" w:before="0" w:after="0"/>
                    <w:ind w:right="0" w:firstLine="709"/>
                    <w:jc w:val="both"/>
                    <w:rPr/>
                  </w:pPr>
                  <w:bookmarkStart w:id="0" w:name="__DdeLink__381_1392190069"/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zh-CN" w:bidi="ar-SA"/>
                    </w:rPr>
                    <w:t>Невозможность предоставления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район.</w:t>
                  </w:r>
                  <w:bookmarkEnd w:id="0"/>
                </w:p>
                <w:p>
                  <w:pPr>
                    <w:pStyle w:val="Normal"/>
                    <w:shd w:val="clear" w:fill="FFFFFF"/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Указанная проблема может быть решена исключительно посредством принятия предложенного документа.</w:t>
                  </w:r>
                </w:p>
                <w:p>
                  <w:pPr>
                    <w:pStyle w:val="Normal"/>
                    <w:shd w:val="clear" w:fill="FFFFFF"/>
                    <w:spacing w:lineRule="auto" w:line="240"/>
                    <w:ind w:left="0" w:right="0" w:firstLine="743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3.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Проект разработан в целях п</w:t>
                  </w:r>
                  <w:r>
                    <w:rPr>
                      <w:rStyle w:val="Style17"/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highlight w:val="white"/>
                      <w:u w:val="none"/>
                      <w:lang w:val="ru-RU" w:eastAsia="ru-RU" w:bidi="ar-SA"/>
                    </w:rPr>
                    <w:t>редоставления мер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Курганинский район».</w:t>
                  </w:r>
                </w:p>
                <w:p>
                  <w:pPr>
                    <w:pStyle w:val="Normal"/>
                    <w:shd w:val="clear" w:fill="FFFFFF"/>
                    <w:spacing w:lineRule="auto" w:line="240"/>
                    <w:ind w:left="0" w:right="0" w:firstLine="743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Вышеуказанные цели соответствуют принципам правового регулирования, установленным законодательством Российской Федерации и Краснодарского края.</w:t>
                  </w:r>
                </w:p>
              </w:tc>
            </w:tr>
          </w:tbl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bookmarkStart w:id="1" w:name="_Hlk1212346144"/>
            <w:bookmarkEnd w:id="1"/>
            <w:r>
              <w:rPr>
                <w:sz w:val="28"/>
                <w:szCs w:val="28"/>
              </w:rPr>
              <w:t>4. Проект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u w:val="none"/>
                <w:lang w:val="ru-RU" w:eastAsia="ru-RU" w:bidi="ar-SA"/>
              </w:rPr>
              <w:t xml:space="preserve"> муниципального НПА содержит положения, устанавливающие новые обязанности для субъектов предпринимательской и инвестиционной деятельности.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u w:val="none"/>
                <w:lang w:val="ru-RU" w:eastAsia="ru-RU" w:bidi="ar-SA"/>
              </w:rPr>
              <w:t>Для включения в Реестр  субъекты предпринимательской деятельности  и самозанятые граждане представляют в отдел инвестиций и стратегического развития  администрации муниципального образования Курганинский район  заявление согласно приложению № 2 к Порядку с приложением следующих документов: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1) Документ, подтверждающий полномочия лица на осуществление действий от имени субъекта предпринимательской деятельности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Для субъекта предпринимательской деятельности - индивидуального предпринимателя, а также самозанятых граждан, - копия паспорта гражданина Российской Федерации.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В случае, если от имени субъекта предпринимательской деятельности или самозанятого гражданина действует иное лицо, необходимо представить также доверенность представителя на осуществление действий от имени субъекта предпринимательской деятельности или самозанятого гражданина.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2) Согласие на обработку персональных данных по форме согласно приложению № 3 к Порядку.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3) </w:t>
            </w:r>
            <w:r>
              <w:rPr>
                <w:color w:val="000000"/>
                <w:sz w:val="28"/>
                <w:szCs w:val="28"/>
              </w:rPr>
              <w:t>Документы, подтверждающие факт нанесения ущерба в результате обстрелов со стороны вооруженных формирований Украины                                            и террористических актов (постановление следственного отдела следственного управления Следственного комитета Российской Федерации по Краснодарскому краю о возбуждении уголовного дела и принятии его к производству и (или) постановление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 в результате обстрела                со стороны вооруженных формирований Украины и террористических актов).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4) </w:t>
            </w:r>
            <w:r>
              <w:rPr>
                <w:color w:val="000000"/>
                <w:sz w:val="28"/>
                <w:szCs w:val="28"/>
              </w:rPr>
              <w:t xml:space="preserve">Пострадавшие субъекты предпринимательской деятельности                               и </w:t>
            </w:r>
            <w:r>
              <w:rPr>
                <w:sz w:val="28"/>
                <w:szCs w:val="28"/>
              </w:rPr>
              <w:t>самозанятые граждане</w:t>
            </w:r>
            <w:r>
              <w:rPr>
                <w:color w:val="000000"/>
                <w:sz w:val="28"/>
                <w:szCs w:val="28"/>
              </w:rPr>
              <w:t xml:space="preserve"> могут дополнительно представить отчет(ы)                             об определении рыночной стоимости обьекта(ов) оценки, выполненный(ые) независимой организацией, имеющей право осуществлять оценочную деятельность в соответствии с Федеральным законом от 29 июля 1998 г.                    № 135- ФЗ «Об оценочной деятельности в Российской Федерации».</w:t>
            </w:r>
          </w:p>
          <w:p>
            <w:pPr>
              <w:pStyle w:val="Normal"/>
              <w:shd w:val="clear" w:color="auto" w:fill="FFFFFF"/>
              <w:ind w:firstLine="709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5)</w:t>
            </w:r>
            <w:r>
              <w:rPr>
                <w:color w:val="000000"/>
                <w:sz w:val="28"/>
                <w:szCs w:val="28"/>
              </w:rPr>
              <w:tab/>
              <w:t>Документами, необходимыми в соответствии с нормативными правовыми актами для включения в Реестр, которые находятся в распоряжении государственных органов и которые заявитель вправе представить                              по собственной инициативе, являются:</w:t>
            </w:r>
          </w:p>
          <w:p>
            <w:pPr>
              <w:pStyle w:val="Normal"/>
              <w:shd w:val="clear" w:color="auto" w:fill="FFFFFF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 субъектов предпринимательской деятельности: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1134" w:leader="none"/>
              </w:tabs>
              <w:suppressAutoHyphens w:val="true"/>
              <w:snapToGrid w:val="true"/>
              <w:ind w:left="0" w:firstLine="709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30 календарных дней до даты подачи документов на включение в Реестр (за исключением физических лиц, применяющих специальный налоговый режим «Налог на профессиональный доход»);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1134" w:leader="none"/>
              </w:tabs>
              <w:suppressAutoHyphens w:val="true"/>
              <w:snapToGrid w:val="true"/>
              <w:ind w:left="0" w:firstLine="709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выписка(и) из Единого государственного реестра недвижимости об объекте недвижимости по форме, утвержденной приказом Федеральной службы государственной   регистрации, кадастра и картографии от 4 сентября 2020 г.                                 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134" w:leader="none"/>
              </w:tabs>
              <w:suppressAutoHyphens w:val="true"/>
              <w:snapToGrid w:val="true"/>
              <w:ind w:left="1429" w:hanging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134" w:leader="none"/>
              </w:tabs>
              <w:suppressAutoHyphens w:val="true"/>
              <w:overflowPunct w:val="false"/>
              <w:bidi w:val="0"/>
              <w:snapToGrid w:val="true"/>
              <w:spacing w:before="0" w:after="0"/>
              <w:ind w:left="57" w:right="0" w:hanging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полученная(ые) не ранее 30 календарных дней до даты подачи документов на включение в Реестр, в случае если у субъектов предпринимательской деятельности отсутствует доступ к поврежденному имуществу, используемому для ведения предпринимательской деятельности.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u w:val="none"/>
                <w:lang w:val="ru-RU" w:eastAsia="ru-RU" w:bidi="ar-SA"/>
              </w:rPr>
              <w:t>Для самозанятых граждан: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u w:val="none"/>
                <w:lang w:val="ru-RU" w:eastAsia="ru-RU" w:bidi="ar-SA"/>
              </w:rPr>
              <w:t>справка о постановке на учет (снятии с учета) физического лица в качестве налогоплательщика налога на профессиональный доход по форме КНД 1122035.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u w:val="none"/>
                <w:lang w:val="ru-RU" w:eastAsia="ru-RU" w:bidi="ar-SA"/>
              </w:rPr>
              <w:t>Проект муниципального НПА обязательные требования не установлены.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5. Возможные</w:t>
            </w:r>
            <w:r>
              <w:rPr>
                <w:color w:val="C9211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риски не достижения целей правового регулирования,                 а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также</w:t>
            </w:r>
            <w:r>
              <w:rPr>
                <w:sz w:val="28"/>
                <w:szCs w:val="28"/>
              </w:rPr>
              <w:t xml:space="preserve">        возможные         негативные       последствия от введения правового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регулирования для экономического развития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sz w:val="28"/>
                <w:szCs w:val="28"/>
              </w:rPr>
              <w:t xml:space="preserve"> Курганинский район </w:t>
            </w:r>
            <w:r>
              <w:rPr>
                <w:rFonts w:cs="Times New Roman CYR" w:ascii="Times New Roman CYR" w:hAnsi="Times New Roman CYR"/>
                <w:color w:val="00000A"/>
                <w:sz w:val="28"/>
                <w:szCs w:val="28"/>
              </w:rPr>
              <w:t>отсутствуют.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6. </w:t>
            </w:r>
            <w:r>
              <w:rPr>
                <w:rFonts w:cs="Times New Roman"/>
                <w:sz w:val="28"/>
                <w:szCs w:val="28"/>
              </w:rPr>
              <w:t xml:space="preserve">Дополнительные расходы бюджета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rFonts w:cs="Times New Roman"/>
                <w:sz w:val="28"/>
                <w:szCs w:val="28"/>
              </w:rPr>
              <w:t xml:space="preserve"> Курганинский район, а также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расходы субъектов предпринимательской и инвестиционной деятельности,</w:t>
            </w:r>
            <w:r>
              <w:rPr>
                <w:rFonts w:cs="Times New Roman"/>
                <w:sz w:val="28"/>
                <w:szCs w:val="28"/>
              </w:rPr>
              <w:t xml:space="preserve"> понесенные от регулирующего воздействия предлагаемого проекта муниципального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НПА </w:t>
            </w:r>
            <w:r>
              <w:rPr>
                <w:rFonts w:cs="Times New Roman"/>
                <w:sz w:val="28"/>
                <w:szCs w:val="28"/>
              </w:rPr>
              <w:t>не предполагаются.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7. В соответствии с Порядком уполномоченный орган провел публичные консультации по проекту в период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с 27 ноября по 8 декабря  2023 года.  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8. Информация о проводимых публичных консультациях была размещена на официальном сайте администрации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sz w:val="28"/>
                <w:szCs w:val="28"/>
              </w:rPr>
              <w:t xml:space="preserve"> Курганинский район                              </w:t>
            </w:r>
            <w:hyperlink r:id="rId2">
              <w:r>
                <w:rPr>
                  <w:rStyle w:val="Style13"/>
                  <w:color w:val="000000"/>
                  <w:sz w:val="28"/>
                  <w:szCs w:val="28"/>
                  <w:u w:val="none"/>
                </w:rPr>
                <w:t xml:space="preserve">www: </w:t>
              </w:r>
            </w:hyperlink>
            <w:hyperlink r:id="rId3">
              <w:r>
                <w:rPr>
                  <w:rStyle w:val="Style13"/>
                  <w:color w:val="000000"/>
                  <w:sz w:val="28"/>
                  <w:szCs w:val="28"/>
                  <w:u w:val="none"/>
                  <w:lang w:val="en-US"/>
                </w:rPr>
                <w:t>admkurganinsk</w:t>
              </w:r>
            </w:hyperlink>
            <w:hyperlink r:id="rId4">
              <w:r>
                <w:rPr>
                  <w:rStyle w:val="Style13"/>
                  <w:color w:val="000000"/>
                  <w:sz w:val="28"/>
                  <w:szCs w:val="28"/>
                  <w:u w:val="none"/>
                </w:rPr>
                <w:t>.ru</w:t>
              </w:r>
            </w:hyperlink>
            <w:r>
              <w:rPr>
                <w:color w:val="000000"/>
                <w:sz w:val="28"/>
                <w:szCs w:val="28"/>
                <w:u w:val="none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9. В период проведения публичных консультаций замечаний и предложений                от участников публичных консультаций не поступило. Получены ответы                    от участников публичных консультаций: общественного представителя                      по Курганинскому району  уполномоченного       по      правам      предпринимателей Краснодарского края   Буракова В.В, индивидуального    предпринимателя,    Председателя Совета депутатов Курганинского городского поселения Курганинского района  Плетнева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Л.Е.</w:t>
            </w:r>
            <w:r>
              <w:rPr>
                <w:sz w:val="28"/>
                <w:szCs w:val="28"/>
              </w:rPr>
              <w:t xml:space="preserve">, индивидуального предпринимателя Кудрявцевой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Е.А.</w:t>
            </w:r>
            <w:r>
              <w:rPr>
                <w:sz w:val="28"/>
                <w:szCs w:val="28"/>
              </w:rPr>
              <w:t xml:space="preserve">, индивидуального  предпринимателя    Разина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В.Ю.</w:t>
            </w:r>
            <w:r>
              <w:rPr>
                <w:sz w:val="28"/>
                <w:szCs w:val="28"/>
              </w:rPr>
              <w:t>, д</w:t>
            </w:r>
            <w:r>
              <w:rPr>
                <w:rStyle w:val="0pt"/>
                <w:rFonts w:eastAsia="Calibri"/>
                <w:sz w:val="28"/>
                <w:szCs w:val="28"/>
              </w:rPr>
              <w:t>иректора общества с ограниченной ответственностью «Центр молодежного инновационного творчества «Перспектива»</w:t>
            </w:r>
            <w:r>
              <w:rPr>
                <w:sz w:val="28"/>
                <w:szCs w:val="28"/>
              </w:rPr>
              <w:t xml:space="preserve">   Попко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К.С. 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10.  По результатам оценки регулирующего воздействия сделаны выводы:            в проекте муниципального правового акта отсутствуют положения, вводящие избыточные административные обязанности, запреты и ограничения                              для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</w:rPr>
              <w:t xml:space="preserve">субъектов  </w:t>
            </w:r>
            <w:r>
              <w:rPr>
                <w:rFonts w:cs="Times New Roman"/>
                <w:b w:val="false"/>
                <w:i w:val="false"/>
                <w:iCs w:val="false"/>
                <w:sz w:val="28"/>
                <w:szCs w:val="28"/>
              </w:rPr>
              <w:t>предпринимательской и иной экономической деятельности, обязанности для субъектов инвестиционной деятельности</w:t>
            </w:r>
            <w:r>
              <w:rPr>
                <w:rFonts w:cs="Times New Roman"/>
                <w:b w:val="false"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способствующих их  введению,       оказывающих        негативное    влияние на отрасли экономики 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муниципального     образования       Курганинский      район,     способствующих 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возникновению   необоснованных   расходов физических или юридических лиц   в   сфере   предпринимательской    и   иной   экономической   и  инвестиционной деятельности, а   также   необоснованных расходов бюджета муниципального образования Курганинский район.   </w:t>
            </w:r>
          </w:p>
          <w:tbl>
            <w:tblPr>
              <w:tblW w:w="992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3"/>
            </w:tblGrid>
            <w:tr>
              <w:trPr/>
              <w:tc>
                <w:tcPr>
                  <w:tcW w:w="9923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ачальник отдела инвестиций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и стратегического развития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администрации муниципального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 xml:space="preserve">образования Курганинский район        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Е.В. Разумевева</w:t>
                  </w:r>
                  <w:r>
                    <w:rPr>
                      <w:sz w:val="28"/>
                      <w:szCs w:val="28"/>
                    </w:rPr>
                    <w:t xml:space="preserve">                                    </w:t>
                  </w:r>
                  <w:r>
                    <w:rPr>
                      <w:sz w:val="28"/>
                      <w:szCs w:val="28"/>
                    </w:rPr>
                    <w:t>15 декабря 2023 г.</w:t>
                  </w:r>
                  <w:r>
                    <w:rPr>
                      <w:sz w:val="28"/>
                      <w:szCs w:val="28"/>
                    </w:rPr>
                    <w:t xml:space="preserve">                ______________</w:t>
                  </w:r>
                </w:p>
              </w:tc>
            </w:tr>
            <w:tr>
              <w:trPr/>
              <w:tc>
                <w:tcPr>
                  <w:tcW w:w="9923" w:type="dxa"/>
                  <w:tcBorders/>
                  <w:shd w:fill="auto" w:val="clear"/>
                </w:tcPr>
                <w:p>
                  <w:pPr>
                    <w:pStyle w:val="Style28"/>
                    <w:spacing w:lineRule="auto" w:lin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870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870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Style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70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870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814" w:right="454" w:header="22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hd w:val="clear" w:fill="FFFFFF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qFormat/>
    <w:pPr>
      <w:keepNext w:val="tru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keepNext w:val="true"/>
      <w:ind w:left="0" w:right="-15" w:hanging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qFormat/>
    <w:pPr>
      <w:keepNext w:val="true"/>
      <w:spacing w:lineRule="auto" w:line="360"/>
      <w:ind w:left="0" w:right="43" w:hanging="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qFormat/>
    <w:pPr>
      <w:keepNext w:val="true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rFonts w:ascii="Calibri" w:hAnsi="Calibri"/>
    </w:rPr>
  </w:style>
  <w:style w:type="paragraph" w:styleId="8">
    <w:name w:val="Heading 8"/>
    <w:basedOn w:val="Normal"/>
    <w:qFormat/>
    <w:pPr>
      <w:keepNext w:val="true"/>
      <w:ind w:left="0" w:right="-15" w:firstLine="708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rFonts w:ascii="Cambria" w:hAnsi="Cambria"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Cambria" w:hAnsi="Cambria" w:eastAsia="Times New Roman" w:cs="Times New Roman"/>
      <w:sz w:val="22"/>
      <w:szCs w:val="22"/>
    </w:rPr>
  </w:style>
  <w:style w:type="character" w:styleId="Style5">
    <w:name w:val="Верхний колонтитул Знак"/>
    <w:qFormat/>
    <w:rPr>
      <w:sz w:val="24"/>
      <w:szCs w:val="24"/>
    </w:rPr>
  </w:style>
  <w:style w:type="character" w:styleId="Style6">
    <w:name w:val="Нижний колонтитул Знак"/>
    <w:qFormat/>
    <w:rPr>
      <w:sz w:val="24"/>
      <w:szCs w:val="24"/>
    </w:rPr>
  </w:style>
  <w:style w:type="character" w:styleId="Style7">
    <w:name w:val="Текст Знак"/>
    <w:qFormat/>
    <w:rPr>
      <w:rFonts w:ascii="Courier New" w:hAnsi="Courier New" w:cs="Courier New"/>
    </w:rPr>
  </w:style>
  <w:style w:type="character" w:styleId="22">
    <w:name w:val="Основной текст 2 Знак"/>
    <w:qFormat/>
    <w:rPr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8">
    <w:name w:val="Основной текст Знак"/>
    <w:qFormat/>
    <w:rPr>
      <w:sz w:val="24"/>
      <w:szCs w:val="24"/>
    </w:rPr>
  </w:style>
  <w:style w:type="character" w:styleId="Style9">
    <w:name w:val="Основной текст с отступом Знак"/>
    <w:qFormat/>
    <w:rPr>
      <w:sz w:val="24"/>
      <w:szCs w:val="24"/>
    </w:rPr>
  </w:style>
  <w:style w:type="character" w:styleId="23">
    <w:name w:val="Основной текст с отступом 2 Знак"/>
    <w:qFormat/>
    <w:rPr>
      <w:sz w:val="24"/>
      <w:szCs w:val="24"/>
    </w:rPr>
  </w:style>
  <w:style w:type="character" w:styleId="Style10">
    <w:name w:val="Заголовок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33">
    <w:name w:val="Основной текст с отступом 3 Знак"/>
    <w:qFormat/>
    <w:rPr>
      <w:sz w:val="16"/>
      <w:szCs w:val="16"/>
    </w:rPr>
  </w:style>
  <w:style w:type="character" w:styleId="Style11">
    <w:name w:val="Гипертекстовая ссылка"/>
    <w:qFormat/>
    <w:rPr>
      <w:rFonts w:cs="Times New Roman"/>
      <w:color w:val="008000"/>
      <w:sz w:val="20"/>
      <w:szCs w:val="20"/>
      <w:u w:val="single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FontStyle54">
    <w:name w:val="Font Style54"/>
    <w:qFormat/>
    <w:rPr>
      <w:rFonts w:ascii="Times New Roman" w:hAnsi="Times New Roman"/>
      <w:b/>
      <w:sz w:val="16"/>
    </w:rPr>
  </w:style>
  <w:style w:type="character" w:styleId="Applestylespan">
    <w:name w:val="apple-style-span"/>
    <w:qFormat/>
    <w:rPr/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24">
    <w:name w:val="Основной текст (2)_"/>
    <w:basedOn w:val="DefaultParagraphFont"/>
    <w:qFormat/>
    <w:rPr>
      <w:sz w:val="28"/>
      <w:szCs w:val="28"/>
      <w:highlight w:val="whit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0pt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Цветовое выделение для Текст"/>
    <w:qFormat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jc w:val="both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left="0" w:right="43" w:hanging="0"/>
      <w:jc w:val="both"/>
    </w:pPr>
    <w:rPr/>
  </w:style>
  <w:style w:type="paragraph" w:styleId="BodyText3">
    <w:name w:val="Body Text 3"/>
    <w:basedOn w:val="Normal"/>
    <w:qFormat/>
    <w:pPr>
      <w:jc w:val="both"/>
    </w:pPr>
    <w:rPr>
      <w:sz w:val="16"/>
      <w:szCs w:val="16"/>
    </w:rPr>
  </w:style>
  <w:style w:type="paragraph" w:styleId="Style26">
    <w:name w:val="Body Text Indent"/>
    <w:basedOn w:val="Normal"/>
    <w:pPr>
      <w:ind w:left="720" w:right="0" w:hanging="0"/>
      <w:jc w:val="both"/>
    </w:pPr>
    <w:rPr/>
  </w:style>
  <w:style w:type="paragraph" w:styleId="Caption">
    <w:name w:val="caption"/>
    <w:basedOn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left="0" w:right="0" w:firstLine="708"/>
      <w:jc w:val="both"/>
    </w:pPr>
    <w:rPr/>
  </w:style>
  <w:style w:type="paragraph" w:styleId="Style27">
    <w:name w:val="Title"/>
    <w:basedOn w:val="Normal"/>
    <w:qFormat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BodyTextIndent3">
    <w:name w:val="Body Text Indent 3"/>
    <w:basedOn w:val="Normal"/>
    <w:qFormat/>
    <w:pPr>
      <w:ind w:left="0" w:right="0" w:firstLine="705"/>
      <w:jc w:val="both"/>
    </w:pPr>
    <w:rPr>
      <w:sz w:val="16"/>
      <w:szCs w:val="16"/>
    </w:rPr>
  </w:style>
  <w:style w:type="paragraph" w:styleId="ConsPlusTitle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/>
      <w:overflowPunct w:val="fals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>
    <w:name w:val="ConsNormal"/>
    <w:qFormat/>
    <w:pPr>
      <w:widowControl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8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29">
    <w:name w:val="Прижатый влево"/>
    <w:basedOn w:val="Normal"/>
    <w:qFormat/>
    <w:pPr>
      <w:widowControl w:val="false"/>
    </w:pPr>
    <w:rPr>
      <w:rFonts w:ascii="Arial" w:hAnsi="Arial" w:cs="Arial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51">
    <w:name w:val="Style5"/>
    <w:basedOn w:val="Normal"/>
    <w:qFormat/>
    <w:pPr>
      <w:widowControl w:val="false"/>
      <w:spacing w:lineRule="exact" w:line="214"/>
      <w:jc w:val="both"/>
    </w:pPr>
    <w:rPr/>
  </w:style>
  <w:style w:type="paragraph" w:styleId="Style91">
    <w:name w:val="Style9"/>
    <w:basedOn w:val="Normal"/>
    <w:qFormat/>
    <w:pPr>
      <w:widowControl w:val="false"/>
      <w:spacing w:lineRule="exact" w:line="197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auto" w:line="240" w:before="0" w:after="480"/>
      <w:jc w:val="both"/>
    </w:pPr>
    <w:rPr>
      <w:sz w:val="28"/>
      <w:szCs w:val="28"/>
    </w:rPr>
  </w:style>
  <w:style w:type="paragraph" w:styleId="Style30">
    <w:name w:val="Заголовок списка"/>
    <w:basedOn w:val="Normal"/>
    <w:qFormat/>
    <w:pPr>
      <w:ind w:left="0" w:right="0" w:hanging="0"/>
    </w:pPr>
    <w:rPr/>
  </w:style>
  <w:style w:type="paragraph" w:styleId="Style31">
    <w:name w:val="Содержимое списка"/>
    <w:basedOn w:val="Normal"/>
    <w:qFormat/>
    <w:pPr>
      <w:ind w:left="567" w:right="0" w:hanging="0"/>
    </w:pPr>
    <w:rPr/>
  </w:style>
  <w:style w:type="paragraph" w:styleId="Style32">
    <w:name w:val="Обычный (Интернет)"/>
    <w:basedOn w:val="Normal"/>
    <w:qFormat/>
    <w:pPr>
      <w:spacing w:before="280" w:after="280"/>
    </w:pPr>
    <w:rPr/>
  </w:style>
  <w:style w:type="paragraph" w:styleId="Style33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vestkurg@mail.ru" TargetMode="External"/><Relationship Id="rId3" Type="http://schemas.openxmlformats.org/officeDocument/2006/relationships/hyperlink" Target="http://www.investkurg@mail.ru" TargetMode="External"/><Relationship Id="rId4" Type="http://schemas.openxmlformats.org/officeDocument/2006/relationships/hyperlink" Target="http://www.investkurg@mail.ru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Application>LibreOffice/6.3.6.2$Linux_X86_64 LibreOffice_project/30$Build-2</Application>
  <Pages>6</Pages>
  <Words>1471</Words>
  <Characters>11821</Characters>
  <CharactersWithSpaces>14263</CharactersWithSpaces>
  <Paragraphs>66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2019-08-02T10:50:00Z</dcterms:created>
  <dc:creator>Юля</dc:creator>
  <dc:description/>
  <dc:language>ru-RU</dc:language>
  <cp:lastModifiedBy/>
  <cp:lastPrinted>2024-01-16T09:34:36Z</cp:lastPrinted>
  <dcterms:modified xsi:type="dcterms:W3CDTF">2024-01-16T10:04:41Z</dcterms:modified>
  <cp:revision>80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