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решения Совета муниципального образования Курганинский район «О внесении изменений в решение Совета муниципального образования Курганинский район                   </w:t>
                        </w:r>
                        <w:bookmarkStart w:id="1" w:name="__DdeLink__1697_1643184489"/>
                        <w:r>
                          <w:rPr>
                            <w:rFonts w:eastAsia="Times New Roman" w:cs="Times New Roman" w:ascii="Times New Roman" w:hAnsi="Times New Roman"/>
                            <w:b w:val="false"/>
                            <w:bCs w:val="false"/>
                            <w:i w:val="false"/>
                            <w:iCs/>
                            <w:color w:val="auto"/>
                            <w:spacing w:val="2"/>
                            <w:kern w:val="0"/>
                            <w:sz w:val="28"/>
                            <w:szCs w:val="28"/>
                            <w:lang w:val="ru-RU" w:eastAsia="ru-RU" w:bidi="ar-SA"/>
                          </w:rPr>
                          <w:t>от 22 июня 2022 г. № 190 «Об утверждении местных нормативов градостроительного проектирования Темиргоевского сельского поселения Курганинского района»</w:t>
                        </w:r>
                        <w:bookmarkEnd w:id="1"/>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МО Курганинский район                     </w:t>
            </w:r>
            <w:r>
              <w:rPr>
                <w:rFonts w:eastAsia="Times New Roman" w:cs="Times New Roman" w:ascii="Times New Roman" w:hAnsi="Times New Roman"/>
                <w:b w:val="false"/>
                <w:bCs w:val="false"/>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190 «Об утверждении местных нормативов градостроительного проектирования Темиргоевского сельского поселения Курганинского района»,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Совета МО Курганинский район </w:t>
            </w:r>
            <w:r>
              <w:rPr>
                <w:rFonts w:eastAsia="Times New Roman" w:cs="Times New Roman"/>
                <w:b w:val="false"/>
                <w:bCs w:val="false"/>
                <w:i w:val="false"/>
                <w:iCs/>
                <w:color w:val="auto"/>
                <w:spacing w:val="2"/>
                <w:kern w:val="0"/>
                <w:sz w:val="28"/>
                <w:szCs w:val="28"/>
                <w:highlight w:val="white"/>
                <w:lang w:val="ru-RU" w:eastAsia="ru-RU" w:bidi="ar-SA"/>
              </w:rPr>
              <w:t>«О внесении изменений в решение Совета муниципального образования Курганинский район от 22 июня 2022 г. № 190 «Об утверждении местных нормативов градостроительного проектирования Темиргоевского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Совета муниципального образования Курганинский район от </w:t>
                  </w:r>
                  <w:r>
                    <w:rPr>
                      <w:rFonts w:eastAsia="Times New Roman" w:cs="Times New Roman"/>
                      <w:b w:val="false"/>
                      <w:bCs w:val="false"/>
                      <w:i w:val="false"/>
                      <w:iCs/>
                      <w:color w:val="auto"/>
                      <w:spacing w:val="2"/>
                      <w:kern w:val="0"/>
                      <w:sz w:val="28"/>
                      <w:szCs w:val="28"/>
                      <w:lang w:val="ru-RU" w:eastAsia="ru-RU" w:bidi="ar-SA"/>
                    </w:rPr>
                    <w:t xml:space="preserve">от 22 июня 2022 г. № 190 «Об утверждении местных нормативов градостроительного проектирования Темиргоевского сельского поселения Курганинского района»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1361</TotalTime>
  <Application>LibreOffice/6.3.6.2$Linux_X86_64 LibreOffice_project/30$Build-2</Application>
  <Pages>5</Pages>
  <Words>1022</Words>
  <Characters>8324</Characters>
  <CharactersWithSpaces>10120</CharactersWithSpaces>
  <Paragraphs>54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2023-09-12T14:41:50Z</cp:lastPrinted>
  <dcterms:modified xsi:type="dcterms:W3CDTF">2023-09-12T14:45:15Z</dcterms:modified>
  <cp:revision>64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