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pPr>
                        <w:r>
                          <w:rPr>
                            <w:rFonts w:eastAsia="Times New Roman" w:cs="Times New Roman"/>
                            <w:b w:val="false"/>
                            <w:bCs/>
                            <w:i w:val="false"/>
                            <w:iCs w:val="false"/>
                            <w:color w:val="auto"/>
                            <w:spacing w:val="2"/>
                            <w:kern w:val="0"/>
                            <w:sz w:val="28"/>
                            <w:szCs w:val="28"/>
                            <w:lang w:val="ru-RU" w:eastAsia="ru-RU" w:bidi="ar-SA"/>
                          </w:rPr>
                          <w:t xml:space="preserve">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28 октября 2015 г. </w:t>
                        </w:r>
                        <w:r>
                          <w:rPr>
                            <w:rFonts w:eastAsia="Times New Roman" w:cs="Times New Roman"/>
                            <w:b w:val="false"/>
                            <w:bCs/>
                            <w:i w:val="false"/>
                            <w:iCs w:val="false"/>
                            <w:color w:val="auto"/>
                            <w:spacing w:val="2"/>
                            <w:kern w:val="0"/>
                            <w:sz w:val="28"/>
                            <w:szCs w:val="28"/>
                            <w:lang w:val="ru-RU" w:eastAsia="ru-RU" w:bidi="ar-SA"/>
                          </w:rPr>
                          <w:t>№</w:t>
                        </w:r>
                        <w:r>
                          <w:rPr>
                            <w:rFonts w:eastAsia="Times New Roman" w:cs="Times New Roman"/>
                            <w:b w:val="false"/>
                            <w:bCs/>
                            <w:i w:val="false"/>
                            <w:iCs w:val="false"/>
                            <w:color w:val="auto"/>
                            <w:spacing w:val="2"/>
                            <w:kern w:val="0"/>
                            <w:sz w:val="28"/>
                            <w:szCs w:val="28"/>
                            <w:lang w:val="ru-RU" w:eastAsia="ru-RU" w:bidi="ar-SA"/>
                          </w:rPr>
                          <w:t xml:space="preserve"> 23 «Об утверждении местных нормативов градостроительного проектирования муниципального образования Курганинский район».</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w:t>
            </w:r>
            <w:r>
              <w:rPr>
                <w:rFonts w:cs="Times New Roman" w:ascii="Times New Roman" w:hAnsi="Times New Roman"/>
                <w:bCs/>
                <w:sz w:val="28"/>
                <w:szCs w:val="28"/>
              </w:rPr>
              <w:t>6</w:t>
            </w:r>
            <w:r>
              <w:rPr>
                <w:rFonts w:eastAsia="Times New Roman" w:cs="Times New Roman" w:ascii="Times New Roman" w:hAnsi="Times New Roman"/>
                <w:bCs/>
                <w:color w:val="auto"/>
                <w:kern w:val="0"/>
                <w:sz w:val="28"/>
                <w:szCs w:val="28"/>
                <w:lang w:val="ru-RU" w:eastAsia="ru-RU" w:bidi="ar-SA"/>
              </w:rPr>
              <w:t xml:space="preserve"> апреля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i w:val="false"/>
                <w:iCs w:val="false"/>
                <w:color w:val="auto"/>
                <w:spacing w:val="2"/>
                <w:kern w:val="0"/>
                <w:sz w:val="28"/>
                <w:szCs w:val="28"/>
                <w:lang w:val="ru-RU" w:eastAsia="ru-RU" w:bidi="ar-SA"/>
              </w:rPr>
              <w:t>решения Совета муниципального образования Курганинский район</w:t>
            </w:r>
            <w:r>
              <w:rPr>
                <w:rFonts w:eastAsia="Times New Roman" w:cs="Times New Roman" w:ascii="Times New Roman" w:hAnsi="Times New Roman"/>
                <w:b w:val="false"/>
                <w:bCs/>
                <w:i w:val="false"/>
                <w:iCs w:val="false"/>
                <w:color w:val="auto"/>
                <w:spacing w:val="2"/>
                <w:kern w:val="0"/>
                <w:sz w:val="24"/>
                <w:szCs w:val="24"/>
                <w:lang w:val="ru-RU" w:eastAsia="ru-RU" w:bidi="ar-SA"/>
              </w:rPr>
              <w:t xml:space="preserve">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«О внесении изменений в решение Совета муниципального образования Курганинский район от 28 октября 2015 г. </w:t>
            </w:r>
            <w:r>
              <w:rPr>
                <w:rFonts w:eastAsia="Times New Roman" w:cs="Times New Roman" w:ascii="Times New Roman" w:hAnsi="Times New Roman"/>
                <w:b w:val="false"/>
                <w:bCs/>
                <w:i w:val="false"/>
                <w:iCs w:val="false"/>
                <w:color w:val="auto"/>
                <w:spacing w:val="2"/>
                <w:kern w:val="0"/>
                <w:sz w:val="28"/>
                <w:szCs w:val="28"/>
                <w:lang w:val="ru-RU" w:eastAsia="ru-RU" w:bidi="ar-SA"/>
              </w:rPr>
              <w:t>№</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23 «Об утверждении местных нормативов градостроительного проектирования муниципального образования Курганинский район» </w:t>
            </w:r>
            <w:r>
              <w:rPr>
                <w:rFonts w:eastAsia="Times New Roman" w:cs="Times New Roman" w:ascii="Times New Roman" w:hAnsi="Times New Roman"/>
                <w:bCs/>
                <w:color w:val="auto"/>
                <w:kern w:val="0"/>
                <w:sz w:val="28"/>
                <w:szCs w:val="28"/>
                <w:lang w:val="ru-RU" w:eastAsia="ru-RU" w:bidi="ar-SA"/>
              </w:rPr>
              <w:t>.</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 xml:space="preserve">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28 октября 2015 г. </w:t>
            </w:r>
            <w:r>
              <w:rPr>
                <w:rFonts w:eastAsia="Times New Roman" w:cs="Times New Roman"/>
                <w:b w:val="false"/>
                <w:bCs/>
                <w:i w:val="false"/>
                <w:iCs w:val="false"/>
                <w:color w:val="auto"/>
                <w:spacing w:val="2"/>
                <w:kern w:val="0"/>
                <w:sz w:val="28"/>
                <w:szCs w:val="28"/>
                <w:highlight w:val="white"/>
                <w:lang w:val="ru-RU" w:eastAsia="ru-RU" w:bidi="ar-SA"/>
              </w:rPr>
              <w:t>№</w:t>
            </w:r>
            <w:r>
              <w:rPr>
                <w:rFonts w:eastAsia="Times New Roman" w:cs="Times New Roman"/>
                <w:b w:val="false"/>
                <w:bCs/>
                <w:i w:val="false"/>
                <w:iCs w:val="false"/>
                <w:color w:val="auto"/>
                <w:spacing w:val="2"/>
                <w:kern w:val="0"/>
                <w:sz w:val="28"/>
                <w:szCs w:val="28"/>
                <w:highlight w:val="white"/>
                <w:lang w:val="ru-RU" w:eastAsia="ru-RU" w:bidi="ar-SA"/>
              </w:rPr>
              <w:t xml:space="preserve"> 23 «Об утверждении местных нормативов градостроительного проектирования муниципального образования Курганинский район»</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0"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0"/>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1"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1"/>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нормативы градостроительного проектирования </w:t>
                  </w:r>
                  <w:r>
                    <w:rPr>
                      <w:rFonts w:eastAsia="Times New Roman" w:cs="Times New Roman" w:ascii="Times New Roman" w:hAnsi="Times New Roman"/>
                      <w:b w:val="false"/>
                      <w:bCs/>
                      <w:i w:val="false"/>
                      <w:iCs w:val="false"/>
                      <w:color w:val="auto"/>
                      <w:spacing w:val="2"/>
                      <w:kern w:val="0"/>
                      <w:sz w:val="28"/>
                      <w:szCs w:val="28"/>
                      <w:lang w:val="ru-RU" w:eastAsia="ru-RU" w:bidi="ar-SA"/>
                    </w:rPr>
                    <w:t>муниципального образования Курганинский район</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не соответствуют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действующему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законодательству,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в связи с внесением </w:t>
                  </w:r>
                  <w:r>
                    <w:rPr>
                      <w:rFonts w:eastAsia="Times New Roman" w:cs="Times New Roman" w:ascii="Times New Roman" w:hAnsi="Times New Roman"/>
                      <w:b w:val="false"/>
                      <w:bCs/>
                      <w:i w:val="false"/>
                      <w:iCs w:val="false"/>
                      <w:color w:val="auto"/>
                      <w:spacing w:val="-2"/>
                      <w:kern w:val="0"/>
                      <w:sz w:val="28"/>
                      <w:szCs w:val="28"/>
                      <w:lang w:val="ru-RU" w:eastAsia="ru-RU" w:bidi="ar-SA"/>
                    </w:rPr>
                    <w:t>изменений в</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нормативы градостроительного проектирования Краснодарского кр</w:t>
                  </w:r>
                  <w:r>
                    <w:rPr>
                      <w:rFonts w:eastAsia="Times New Roman" w:cs="Times New Roman" w:ascii="Times New Roman" w:hAnsi="Times New Roman"/>
                      <w:b w:val="false"/>
                      <w:bCs/>
                      <w:i w:val="false"/>
                      <w:iCs w:val="false"/>
                      <w:color w:val="auto"/>
                      <w:spacing w:val="-2"/>
                      <w:kern w:val="0"/>
                      <w:sz w:val="28"/>
                      <w:szCs w:val="28"/>
                      <w:lang w:val="ru-RU" w:eastAsia="ru-RU" w:bidi="ar-SA"/>
                    </w:rPr>
                    <w:t>ая</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w:t>
                  </w:r>
                  <w:r>
                    <w:rPr>
                      <w:rFonts w:eastAsia="Times New Roman" w:cs="Times New Roman" w:ascii="Times New Roman" w:hAnsi="Times New Roman"/>
                      <w:b w:val="false"/>
                      <w:bCs/>
                      <w:i w:val="false"/>
                      <w:iCs w:val="false"/>
                      <w:color w:val="auto"/>
                      <w:spacing w:val="-2"/>
                      <w:kern w:val="0"/>
                      <w:sz w:val="28"/>
                      <w:szCs w:val="28"/>
                      <w:lang w:val="ru-RU" w:eastAsia="ru-RU" w:bidi="ar-SA"/>
                    </w:rPr>
                    <w:t>(</w:t>
                  </w:r>
                  <w:r>
                    <w:rPr>
                      <w:rFonts w:eastAsia="Times New Roman" w:cs="Times New Roman" w:ascii="Times New Roman" w:hAnsi="Times New Roman"/>
                      <w:b w:val="false"/>
                      <w:bCs/>
                      <w:i w:val="false"/>
                      <w:iCs w:val="false"/>
                      <w:color w:val="auto"/>
                      <w:spacing w:val="-2"/>
                      <w:kern w:val="0"/>
                      <w:sz w:val="28"/>
                      <w:szCs w:val="28"/>
                      <w:lang w:val="ru-RU" w:eastAsia="ru-RU" w:bidi="ar-SA"/>
                    </w:rPr>
                    <w:t>в части установления предельных значений расчетных по</w:t>
                  </w:r>
                  <w:r>
                    <w:rPr>
                      <w:rFonts w:eastAsia="Times New Roman" w:cs="Times New Roman" w:ascii="Times New Roman" w:hAnsi="Times New Roman"/>
                      <w:b w:val="false"/>
                      <w:bCs/>
                      <w:i w:val="false"/>
                      <w:iCs w:val="false"/>
                      <w:color w:val="auto"/>
                      <w:spacing w:val="-2"/>
                      <w:kern w:val="0"/>
                      <w:sz w:val="28"/>
                      <w:szCs w:val="28"/>
                      <w:lang w:val="ru-RU" w:eastAsia="ru-RU" w:bidi="ar-SA"/>
                    </w:rPr>
                    <w:t>к</w:t>
                  </w:r>
                  <w:r>
                    <w:rPr>
                      <w:rFonts w:eastAsia="Times New Roman" w:cs="Times New Roman" w:ascii="Times New Roman" w:hAnsi="Times New Roman"/>
                      <w:b w:val="false"/>
                      <w:bCs/>
                      <w:i w:val="false"/>
                      <w:iCs w:val="false"/>
                      <w:color w:val="auto"/>
                      <w:spacing w:val="-2"/>
                      <w:kern w:val="0"/>
                      <w:sz w:val="28"/>
                      <w:szCs w:val="28"/>
                      <w:lang w:val="ru-RU" w:eastAsia="ru-RU" w:bidi="ar-SA"/>
                    </w:rPr>
                    <w:t>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Проект разработан в целях приведения рассматриваемого нормативного-правового акта в соответствие действующему законодательству. </w:t>
                  </w:r>
                  <w:r>
                    <w:rPr>
                      <w:rFonts w:eastAsia="Times New Roman" w:cs="Times New Roman"/>
                      <w:b w:val="false"/>
                      <w:bCs w:val="false"/>
                      <w:i w:val="false"/>
                      <w:iCs w:val="false"/>
                      <w:color w:val="auto"/>
                      <w:spacing w:val="-2"/>
                      <w:kern w:val="0"/>
                      <w:sz w:val="28"/>
                      <w:szCs w:val="28"/>
                      <w:lang w:val="ru-RU" w:eastAsia="ru-RU" w:bidi="ar-SA"/>
                    </w:rPr>
                    <w:t xml:space="preserve"> 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2" w:name="_Hlk1212346144"/>
            <w:bookmarkEnd w:id="2"/>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w:t>
            </w:r>
            <w:r>
              <w:rPr>
                <w:rFonts w:eastAsia="Times New Roman" w:cs="Times New Roman"/>
                <w:sz w:val="28"/>
                <w:szCs w:val="28"/>
              </w:rPr>
              <w:t xml:space="preserve">6 </w:t>
            </w:r>
            <w:r>
              <w:rPr>
                <w:rFonts w:eastAsia="Times New Roman" w:cs="Times New Roman"/>
                <w:sz w:val="28"/>
                <w:szCs w:val="28"/>
              </w:rPr>
              <w:t xml:space="preserve">по </w:t>
            </w:r>
            <w:r>
              <w:rPr>
                <w:rFonts w:eastAsia="Times New Roman" w:cs="Times New Roman"/>
                <w:sz w:val="28"/>
                <w:szCs w:val="28"/>
              </w:rPr>
              <w:t>19</w:t>
            </w:r>
            <w:r>
              <w:rPr>
                <w:rFonts w:eastAsia="Times New Roman" w:cs="Times New Roman"/>
                <w:sz w:val="28"/>
                <w:szCs w:val="28"/>
              </w:rPr>
              <w:t xml:space="preserve"> апреля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w:t>
                  </w:r>
                  <w:r>
                    <w:rPr>
                      <w:sz w:val="28"/>
                      <w:szCs w:val="28"/>
                    </w:rPr>
                    <w:t>27</w:t>
                  </w:r>
                  <w:r>
                    <w:rPr>
                      <w:sz w:val="28"/>
                      <w:szCs w:val="28"/>
                    </w:rPr>
                    <w:t xml:space="preserve"> апреля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828</TotalTime>
  <Application>LibreOffice/6.3.6.2$Linux_X86_64 LibreOffice_project/30$Build-2</Application>
  <Pages>4</Pages>
  <Words>944</Words>
  <Characters>8009</Characters>
  <CharactersWithSpaces>9785</CharactersWithSpaces>
  <Paragraphs>50</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2023-04-27T15:16:21Z</cp:lastPrinted>
  <dcterms:modified xsi:type="dcterms:W3CDTF">2023-04-27T15:18:41Z</dcterms:modified>
  <cp:revision>43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