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архитектуры и градостроительства,</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главному архитектору</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8"/>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8"/>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Перкину Е.В.</w:t>
            </w:r>
          </w:p>
          <w:p>
            <w:pPr>
              <w:pStyle w:val="Normal"/>
              <w:tabs>
                <w:tab w:val="clear" w:pos="708"/>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1"/>
                          <w:shd w:fill="FFFFFF" w:val="clear"/>
                          <w:suppressAutoHyphens w:val="true"/>
                          <w:spacing w:before="280" w:after="0"/>
                          <w:ind w:left="0" w:right="0" w:hanging="0"/>
                          <w:jc w:val="both"/>
                          <w:rPr>
                            <w:rFonts w:ascii="Times New Roman" w:hAnsi="Times New Roman" w:eastAsia="Times New Roman" w:cs="Times New Roman"/>
                            <w:bCs/>
                            <w:color w:val="auto"/>
                            <w:kern w:val="0"/>
                            <w:sz w:val="28"/>
                            <w:szCs w:val="28"/>
                            <w:lang w:val="ru-RU" w:eastAsia="ru-RU" w:bidi="ar-SA"/>
                          </w:rPr>
                        </w:pP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проекта решения Совета муниципального образования Курганинский район </w:t>
                        </w:r>
                        <w:r>
                          <w:rPr>
                            <w:rFonts w:eastAsia="Times New Roman" w:cs="Times New Roman" w:ascii="Times New Roman" w:hAnsi="Times New Roman"/>
                            <w:b w:val="false"/>
                            <w:bCs/>
                            <w:i w:val="false"/>
                            <w:iCs/>
                            <w:color w:val="auto"/>
                            <w:spacing w:val="2"/>
                            <w:kern w:val="0"/>
                            <w:sz w:val="28"/>
                            <w:szCs w:val="28"/>
                            <w:lang w:val="ru-RU" w:eastAsia="ru-RU" w:bidi="ar-SA"/>
                          </w:rPr>
                          <w:t>«О внесении изменений в решение Совета муниципального образования Курганинский район от 22 июня 2022 г. № 188</w:t>
                        </w:r>
                        <w:r>
                          <w:rPr>
                            <w:rFonts w:eastAsia="Times New Roman" w:cs="Times New Roman" w:ascii="Times New Roman" w:hAnsi="Times New Roman"/>
                            <w:b/>
                            <w:bCs/>
                            <w:i w:val="false"/>
                            <w:iCs/>
                            <w:color w:val="auto"/>
                            <w:spacing w:val="2"/>
                            <w:kern w:val="0"/>
                            <w:sz w:val="28"/>
                            <w:szCs w:val="28"/>
                            <w:lang w:val="ru-RU" w:eastAsia="ru-RU" w:bidi="ar-SA"/>
                          </w:rPr>
                          <w:t xml:space="preserve"> «</w:t>
                        </w:r>
                        <w:r>
                          <w:rPr>
                            <w:rFonts w:eastAsia="Times New Roman" w:cs="Times New Roman" w:ascii="Times New Roman" w:hAnsi="Times New Roman"/>
                            <w:b w:val="false"/>
                            <w:bCs/>
                            <w:i w:val="false"/>
                            <w:iCs/>
                            <w:color w:val="auto"/>
                            <w:spacing w:val="2"/>
                            <w:kern w:val="0"/>
                            <w:sz w:val="28"/>
                            <w:szCs w:val="28"/>
                            <w:lang w:val="ru-RU" w:eastAsia="ru-RU" w:bidi="ar-SA"/>
                          </w:rPr>
                          <w:t>Об утверждении местных нормативов градостроительного проектирования Октябрьского сельского поселения Курганинского района»</w:t>
                        </w:r>
                      </w:p>
                    </w:tc>
                  </w:tr>
                </w:tbl>
                <w:p>
                  <w:pPr>
                    <w:pStyle w:val="Normal"/>
                    <w:rPr/>
                  </w:pPr>
                  <w:r>
                    <w:rPr/>
                  </w:r>
                </w:p>
              </w:tc>
            </w:tr>
          </w:tbl>
          <w:p>
            <w:pPr>
              <w:pStyle w:val="Normal"/>
              <w:rPr>
                <w:rFonts w:ascii="Times New Roman" w:hAnsi="Times New Roman" w:eastAsia="Times New Roman" w:cs="Times New Roman"/>
                <w:bCs/>
                <w:color w:val="auto"/>
                <w:kern w:val="0"/>
                <w:sz w:val="28"/>
                <w:szCs w:val="28"/>
                <w:lang w:val="ru-RU" w:eastAsia="ru-RU" w:bidi="ar-SA"/>
              </w:rPr>
            </w:pPr>
            <w:r>
              <w:rPr>
                <w:rFonts w:eastAsia="Times New Roman" w:cs="Times New Roman"/>
                <w:bCs/>
                <w:color w:val="auto"/>
                <w:kern w:val="0"/>
                <w:sz w:val="28"/>
                <w:szCs w:val="28"/>
                <w:lang w:val="ru-RU" w:eastAsia="ru-RU" w:bidi="ar-SA"/>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Отдел инвестиций и стратегического развития администрации муниципального образования Курганинский район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Курганинский район, рассмотрел поступивший 1</w:t>
            </w:r>
            <w:r>
              <w:rPr>
                <w:rFonts w:cs="Times New Roman" w:ascii="Times New Roman" w:hAnsi="Times New Roman"/>
                <w:bCs/>
                <w:sz w:val="28"/>
                <w:szCs w:val="28"/>
              </w:rPr>
              <w:t>2</w:t>
            </w:r>
            <w:r>
              <w:rPr>
                <w:rFonts w:eastAsia="Times New Roman" w:cs="Times New Roman" w:ascii="Times New Roman" w:hAnsi="Times New Roman"/>
                <w:bCs/>
                <w:color w:val="auto"/>
                <w:kern w:val="0"/>
                <w:sz w:val="28"/>
                <w:szCs w:val="28"/>
                <w:lang w:val="ru-RU" w:eastAsia="ru-RU" w:bidi="ar-SA"/>
              </w:rPr>
              <w:t xml:space="preserve"> апреля</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проект </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 решения Совета муниципального образования Курганинский район                        </w:t>
            </w:r>
            <w:r>
              <w:rPr>
                <w:rFonts w:eastAsia="Times New Roman" w:cs="Times New Roman" w:ascii="Times New Roman" w:hAnsi="Times New Roman"/>
                <w:b w:val="false"/>
                <w:bCs/>
                <w:i w:val="false"/>
                <w:iCs/>
                <w:color w:val="auto"/>
                <w:spacing w:val="2"/>
                <w:kern w:val="0"/>
                <w:sz w:val="28"/>
                <w:szCs w:val="28"/>
                <w:lang w:val="ru-RU" w:eastAsia="ru-RU" w:bidi="ar-SA"/>
              </w:rPr>
              <w:t>«О внесении изменений в решение Совета муниципального образования Курганинский район от 22 июня 2022 г. № 188</w:t>
            </w:r>
            <w:r>
              <w:rPr>
                <w:rFonts w:eastAsia="Times New Roman" w:cs="Times New Roman" w:ascii="Times New Roman" w:hAnsi="Times New Roman"/>
                <w:b/>
                <w:bCs/>
                <w:i w:val="false"/>
                <w:iCs/>
                <w:color w:val="auto"/>
                <w:spacing w:val="2"/>
                <w:kern w:val="0"/>
                <w:sz w:val="28"/>
                <w:szCs w:val="28"/>
                <w:lang w:val="ru-RU" w:eastAsia="ru-RU" w:bidi="ar-SA"/>
              </w:rPr>
              <w:t xml:space="preserve"> «</w:t>
            </w:r>
            <w:r>
              <w:rPr>
                <w:rFonts w:eastAsia="Times New Roman" w:cs="Times New Roman" w:ascii="Times New Roman" w:hAnsi="Times New Roman"/>
                <w:b w:val="false"/>
                <w:bCs/>
                <w:i w:val="false"/>
                <w:iCs/>
                <w:color w:val="auto"/>
                <w:spacing w:val="2"/>
                <w:kern w:val="0"/>
                <w:sz w:val="28"/>
                <w:szCs w:val="28"/>
                <w:lang w:val="ru-RU" w:eastAsia="ru-RU" w:bidi="ar-SA"/>
              </w:rPr>
              <w:t>Об утверждении местных нормативов градостроительного проектирования Октябрьского сельского поселения Курганинского района»</w:t>
            </w:r>
            <w:r>
              <w:rPr>
                <w:rFonts w:eastAsia="Times New Roman" w:cs="Times New Roman" w:ascii="Times New Roman" w:hAnsi="Times New Roman"/>
                <w:bCs/>
                <w:color w:val="auto"/>
                <w:kern w:val="0"/>
                <w:sz w:val="28"/>
                <w:szCs w:val="28"/>
                <w:lang w:val="ru-RU" w:eastAsia="ru-RU" w:bidi="ar-SA"/>
              </w:rPr>
              <w:t>.</w:t>
            </w:r>
          </w:p>
        </w:tc>
      </w:tr>
      <w:tr>
        <w:trPr>
          <w:trHeight w:val="14520" w:hRule="atLeast"/>
        </w:trPr>
        <w:tc>
          <w:tcPr>
            <w:tcW w:w="9923" w:type="dxa"/>
            <w:tcBorders/>
            <w:shd w:fill="auto" w:val="clear"/>
          </w:tcPr>
          <w:p>
            <w:pPr>
              <w:pStyle w:val="Normal"/>
              <w:tabs>
                <w:tab w:val="clear" w:pos="708"/>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муниципального</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образования</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предпринимательской и иной экономической деятельности,                         обязанности   для   субъектов   инвестиционной  деятельности</w:t>
            </w:r>
            <w:r>
              <w:rPr>
                <w:rFonts w:eastAsia="Times New Roman" w:cs="Times New Roman"/>
                <w:bCs/>
                <w:i w:val="false"/>
                <w:iCs w:val="false"/>
                <w:color w:val="auto"/>
                <w:kern w:val="0"/>
                <w:sz w:val="28"/>
                <w:szCs w:val="28"/>
                <w:lang w:val="ru-RU" w:eastAsia="ru-RU" w:bidi="ar-SA"/>
              </w:rPr>
              <w:t xml:space="preserve">,     </w:t>
            </w:r>
            <w:r>
              <w:rPr>
                <w:sz w:val="28"/>
                <w:szCs w:val="28"/>
              </w:rPr>
              <w:t xml:space="preserve">утверждённым </w:t>
            </w:r>
          </w:p>
          <w:p>
            <w:pPr>
              <w:pStyle w:val="Normal"/>
              <w:tabs>
                <w:tab w:val="clear" w:pos="708"/>
                <w:tab w:val="left" w:pos="732" w:leader="none"/>
              </w:tabs>
              <w:spacing w:lineRule="auto" w:line="240"/>
              <w:ind w:left="0" w:right="0" w:hanging="0"/>
              <w:jc w:val="both"/>
              <w:rPr/>
            </w:pPr>
            <w:r>
              <w:rPr>
                <w:sz w:val="28"/>
                <w:szCs w:val="28"/>
              </w:rPr>
              <w:t xml:space="preserve">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w:t>
            </w:r>
          </w:p>
          <w:p>
            <w:pPr>
              <w:pStyle w:val="Normal"/>
              <w:tabs>
                <w:tab w:val="clear" w:pos="708"/>
                <w:tab w:val="left" w:pos="732" w:leader="none"/>
              </w:tabs>
              <w:spacing w:lineRule="auto" w:line="240"/>
              <w:ind w:left="0" w:right="0" w:hanging="0"/>
              <w:jc w:val="both"/>
              <w:rPr/>
            </w:pPr>
            <w:r>
              <w:rPr>
                <w:rFonts w:eastAsia="Times New Roman" w:cs="Times New Roman"/>
                <w:b w:val="false"/>
                <w:bCs/>
                <w:i w:val="false"/>
                <w:iCs w:val="false"/>
                <w:color w:val="auto"/>
                <w:kern w:val="0"/>
                <w:sz w:val="28"/>
                <w:szCs w:val="28"/>
                <w:lang w:val="ru-RU" w:eastAsia="ru-RU" w:bidi="ar-SA"/>
              </w:rPr>
              <w:t xml:space="preserve">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проект подлежит проведению оценки регулирующего воздействия.</w:t>
            </w:r>
          </w:p>
          <w:p>
            <w:pPr>
              <w:pStyle w:val="Normal"/>
              <w:tabs>
                <w:tab w:val="clear" w:pos="708"/>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8"/>
                <w:tab w:val="left" w:pos="732" w:leader="none"/>
              </w:tabs>
              <w:spacing w:lineRule="auto" w:line="240"/>
              <w:ind w:left="0" w:right="0" w:firstLine="743"/>
              <w:jc w:val="both"/>
              <w:rPr/>
            </w:pPr>
            <w:r>
              <w:rPr>
                <w:sz w:val="28"/>
                <w:szCs w:val="28"/>
              </w:rPr>
              <w:t xml:space="preserve">Проект направлен разработчиком для проведения оценки регулирующего воздействия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нормативного правового акта, </w:t>
            </w:r>
            <w:r>
              <w:rPr>
                <w:rFonts w:eastAsia="Times New Roman" w:cs="Times New Roman"/>
                <w:b w:val="false"/>
                <w:bCs/>
                <w:i w:val="false"/>
                <w:iCs w:val="false"/>
                <w:color w:val="auto"/>
                <w:spacing w:val="2"/>
                <w:kern w:val="0"/>
                <w:sz w:val="28"/>
                <w:szCs w:val="28"/>
                <w:highlight w:val="white"/>
                <w:lang w:val="ru-RU" w:eastAsia="ru-RU" w:bidi="ar-SA"/>
              </w:rPr>
              <w:t xml:space="preserve">проект решения Совета муниципального образования Курганинский район </w:t>
            </w:r>
            <w:r>
              <w:rPr>
                <w:rFonts w:eastAsia="Times New Roman" w:cs="Times New Roman"/>
                <w:b w:val="false"/>
                <w:bCs/>
                <w:i w:val="false"/>
                <w:iCs/>
                <w:color w:val="auto"/>
                <w:spacing w:val="2"/>
                <w:kern w:val="0"/>
                <w:sz w:val="28"/>
                <w:szCs w:val="28"/>
                <w:highlight w:val="white"/>
                <w:lang w:val="ru-RU" w:eastAsia="ru-RU" w:bidi="ar-SA"/>
              </w:rPr>
              <w:t>«О внесении изменений в решение Совета муниципального образования Курганинский район от 22 июня 2022 г. № 188</w:t>
            </w:r>
            <w:r>
              <w:rPr>
                <w:rFonts w:eastAsia="Times New Roman" w:cs="Times New Roman"/>
                <w:b/>
                <w:bCs/>
                <w:i w:val="false"/>
                <w:iCs/>
                <w:color w:val="auto"/>
                <w:spacing w:val="2"/>
                <w:kern w:val="0"/>
                <w:sz w:val="28"/>
                <w:szCs w:val="28"/>
                <w:highlight w:val="white"/>
                <w:lang w:val="ru-RU" w:eastAsia="ru-RU" w:bidi="ar-SA"/>
              </w:rPr>
              <w:t xml:space="preserve"> «</w:t>
            </w:r>
            <w:r>
              <w:rPr>
                <w:rFonts w:eastAsia="Times New Roman" w:cs="Times New Roman"/>
                <w:b w:val="false"/>
                <w:bCs/>
                <w:i w:val="false"/>
                <w:iCs/>
                <w:color w:val="auto"/>
                <w:spacing w:val="2"/>
                <w:kern w:val="0"/>
                <w:sz w:val="28"/>
                <w:szCs w:val="28"/>
                <w:highlight w:val="white"/>
                <w:lang w:val="ru-RU" w:eastAsia="ru-RU" w:bidi="ar-SA"/>
              </w:rPr>
              <w:t>Об утверждении местных нормативов градостроительного проектирования Октябрьского сельского поселения Курганинского района»</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вариант непринятия муниципального нормативного правового акта.</w:t>
            </w:r>
          </w:p>
          <w:p>
            <w:pPr>
              <w:pStyle w:val="Normal"/>
              <w:spacing w:lineRule="auto" w:line="240"/>
              <w:ind w:left="0" w:right="0" w:firstLine="743"/>
              <w:jc w:val="both"/>
              <w:rPr/>
            </w:pPr>
            <w:r>
              <w:rPr>
                <w:rFonts w:cs="Times New Roman"/>
                <w:b w:val="false"/>
                <w:bCs w:val="false"/>
                <w:i w:val="false"/>
                <w:iCs w:val="false"/>
                <w:sz w:val="28"/>
                <w:szCs w:val="28"/>
                <w:highlight w:val="white"/>
              </w:rPr>
              <w:t>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w:t>
            </w:r>
            <w:r>
              <w:rPr>
                <w:rFonts w:cs="Times New Roman"/>
                <w:b w:val="false"/>
                <w:bCs w:val="false"/>
                <w:i w:val="false"/>
                <w:iCs w:val="false"/>
                <w:sz w:val="28"/>
                <w:szCs w:val="28"/>
                <w:highlight w:val="yellow"/>
              </w:rPr>
              <w:t xml:space="preserve"> </w:t>
            </w:r>
            <w:r>
              <w:rPr>
                <w:rFonts w:cs="Times New Roman"/>
                <w:b w:val="false"/>
                <w:bCs w:val="false"/>
                <w:i w:val="false"/>
                <w:iCs w:val="false"/>
                <w:sz w:val="28"/>
                <w:szCs w:val="28"/>
                <w:highlight w:val="white"/>
              </w:rPr>
              <w:t xml:space="preserve"> </w:t>
            </w:r>
          </w:p>
          <w:p>
            <w:pPr>
              <w:pStyle w:val="Normal"/>
              <w:tabs>
                <w:tab w:val="clear" w:pos="708"/>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w:t>
            </w:r>
            <w:bookmarkStart w:id="0" w:name="__DdeLink__854_2183360146"/>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0"/>
            <w:r>
              <w:rPr>
                <w:rFonts w:eastAsia="Times New Roman" w:cs="Times New Roman"/>
                <w:b w:val="false"/>
                <w:bCs w:val="false"/>
                <w:i w:val="false"/>
                <w:iCs w:val="false"/>
                <w:color w:val="auto"/>
                <w:kern w:val="0"/>
                <w:sz w:val="28"/>
                <w:szCs w:val="28"/>
                <w:lang w:val="ru-RU" w:eastAsia="ru-RU" w:bidi="ar-SA"/>
              </w:rPr>
              <w:t>;</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xml:space="preserve">-   сроки достижения заявленной цели </w:t>
            </w:r>
            <w:r>
              <w:rPr>
                <w:b/>
                <w:bCs/>
                <w:sz w:val="28"/>
                <w:szCs w:val="28"/>
              </w:rPr>
              <w:t xml:space="preserve">- </w:t>
            </w:r>
            <w:r>
              <w:rPr>
                <w:rFonts w:eastAsia="Times New Roman" w:cs="Times New Roman"/>
                <w:b w:val="false"/>
                <w:bCs w:val="false"/>
                <w:i w:val="false"/>
                <w:iCs w:val="false"/>
                <w:color w:val="auto"/>
                <w:kern w:val="0"/>
                <w:sz w:val="28"/>
                <w:szCs w:val="28"/>
                <w:lang w:val="ru-RU" w:eastAsia="ru-RU" w:bidi="ar-SA"/>
              </w:rPr>
              <w:t>2023 год и все последующие,                 в  мониторинге достижения целей не нуждается;</w:t>
            </w:r>
          </w:p>
          <w:p>
            <w:pPr>
              <w:pStyle w:val="Normal"/>
              <w:spacing w:lineRule="auto" w:line="240"/>
              <w:ind w:left="0" w:right="0" w:firstLine="743"/>
              <w:jc w:val="both"/>
              <w:rPr/>
            </w:pPr>
            <w:r>
              <w:rPr>
                <w:sz w:val="28"/>
                <w:szCs w:val="28"/>
              </w:rPr>
              <w:t xml:space="preserve">-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 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bookmarkStart w:id="1" w:name="__DdeLink__854_21833601461"/>
            <w:r>
              <w:rPr>
                <w:rFonts w:eastAsia="Times New Roman" w:cs="Times New Roman"/>
                <w:b w:val="false"/>
                <w:bCs w:val="false"/>
                <w:i w:val="false"/>
                <w:iCs w:val="false"/>
                <w:color w:val="auto"/>
                <w:kern w:val="0"/>
                <w:sz w:val="28"/>
                <w:szCs w:val="28"/>
                <w:lang w:val="ru-RU" w:eastAsia="ru-RU" w:bidi="ar-SA"/>
              </w:rPr>
              <w:t>физические и юридические лица</w:t>
            </w:r>
            <w:bookmarkEnd w:id="1"/>
            <w:r>
              <w:rPr>
                <w:rFonts w:eastAsia="Times New Roman" w:cs="Times New Roman"/>
                <w:b w:val="false"/>
                <w:bCs w:val="false"/>
                <w:i w:val="false"/>
                <w:iCs w:val="false"/>
                <w:color w:val="auto"/>
                <w:kern w:val="0"/>
                <w:sz w:val="28"/>
                <w:szCs w:val="28"/>
                <w:lang w:val="ru-RU" w:eastAsia="ru-RU" w:bidi="ar-SA"/>
              </w:rPr>
              <w:t>;</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ind w:hanging="0"/>
                    <w:rPr/>
                  </w:pP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действующие нормативы градостроительного проектирования </w:t>
                  </w:r>
                  <w:r>
                    <w:rPr>
                      <w:rFonts w:eastAsia="Times New Roman" w:cs="Times New Roman" w:ascii="Times New Roman" w:hAnsi="Times New Roman"/>
                      <w:b w:val="false"/>
                      <w:bCs/>
                      <w:i w:val="false"/>
                      <w:iCs w:val="false"/>
                      <w:color w:val="auto"/>
                      <w:spacing w:val="-2"/>
                      <w:kern w:val="0"/>
                      <w:sz w:val="28"/>
                      <w:szCs w:val="28"/>
                      <w:lang w:val="ru-RU" w:eastAsia="ru-RU" w:bidi="ar-SA"/>
                    </w:rPr>
                    <w:t>Октябрьского</w:t>
                  </w:r>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 сельского поселения Курганинского района   не соответствуют действующему законодательству, в связи с внесением изменений в нормативы градостроительного проектирования Краснодарского края (</w:t>
                  </w:r>
                  <w:bookmarkStart w:id="2" w:name="__DdeLink__243_964714800"/>
                  <w:r>
                    <w:rPr>
                      <w:rFonts w:eastAsia="Times New Roman" w:cs="Times New Roman" w:ascii="Times New Roman" w:hAnsi="Times New Roman"/>
                      <w:b w:val="false"/>
                      <w:bCs/>
                      <w:i w:val="false"/>
                      <w:iCs w:val="false"/>
                      <w:color w:val="auto"/>
                      <w:spacing w:val="-2"/>
                      <w:kern w:val="0"/>
                      <w:sz w:val="28"/>
                      <w:szCs w:val="28"/>
                      <w:lang w:val="ru-RU" w:eastAsia="ru-RU" w:bidi="ar-SA"/>
                    </w:rPr>
                    <w:t>приказу департамента по архитектуре и градостроительству Краснодарского края от 12 сентября 2022 г. № 222 «О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bookmarkEnd w:id="2"/>
                  <w:r>
                    <w:rPr>
                      <w:rFonts w:eastAsia="Times New Roman" w:cs="Times New Roman" w:ascii="Times New Roman" w:hAnsi="Times New Roman"/>
                      <w:b w:val="false"/>
                      <w:bCs/>
                      <w:i w:val="false"/>
                      <w:iCs w:val="false"/>
                      <w:color w:val="auto"/>
                      <w:spacing w:val="-2"/>
                      <w:kern w:val="0"/>
                      <w:sz w:val="28"/>
                      <w:szCs w:val="28"/>
                      <w:lang w:val="ru-RU" w:eastAsia="ru-RU" w:bidi="ar-SA"/>
                    </w:rPr>
                    <w:t>).</w:t>
                  </w:r>
                </w:p>
                <w:p>
                  <w:pPr>
                    <w:pStyle w:val="Normal"/>
                    <w:shd w:val="clear" w:fill="FFFFFF"/>
                    <w:spacing w:lineRule="auto" w:line="240"/>
                    <w:jc w:val="both"/>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3. Проект разработан в целях приведения рассматриваемого нормативного-правового акта в соответствие приказу департамента по архитектуре                           и градостроительству Краснодарского края от 12 сентября 2022 г.                                 «О внесении изменений в приказ департамента по архитектуре                                        и градостроительству Краснодарского края от 16 апреля 2015 г. № 78                         «Об утверждении нормативов градостроительного проектирования Краснодарского края».</w:t>
                  </w:r>
                </w:p>
                <w:p>
                  <w:pPr>
                    <w:pStyle w:val="Normal"/>
                    <w:shd w:val="clear" w:fill="FFFFFF"/>
                    <w:spacing w:lineRule="auto" w:line="240"/>
                    <w:ind w:left="0" w:right="0" w:firstLine="743"/>
                    <w:jc w:val="both"/>
                    <w:rPr/>
                  </w:pPr>
                  <w:r>
                    <w:rPr>
                      <w:rFonts w:eastAsia="Times New Roman" w:cs="Times New Roman"/>
                      <w:b w:val="false"/>
                      <w:bCs w:val="false"/>
                      <w:i w:val="false"/>
                      <w:iCs w:val="false"/>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3" w:name="_Hlk1212346144"/>
            <w:bookmarkEnd w:id="3"/>
            <w:r>
              <w:rPr>
                <w:sz w:val="28"/>
                <w:szCs w:val="28"/>
              </w:rPr>
              <w:t>4. Проект</w:t>
            </w:r>
            <w:r>
              <w:rPr>
                <w:rFonts w:eastAsia="Times New Roman" w:cs="Times New Roman"/>
                <w:b w:val="false"/>
                <w:bCs/>
                <w:i w:val="false"/>
                <w:iCs w:val="false"/>
                <w:color w:val="auto"/>
                <w:spacing w:val="-2"/>
                <w:kern w:val="0"/>
                <w:sz w:val="28"/>
                <w:szCs w:val="28"/>
                <w:u w:val="none"/>
                <w:lang w:val="ru-RU" w:eastAsia="ru-RU" w:bidi="ar-SA"/>
              </w:rPr>
              <w:t xml:space="preserve"> муниципального нормативного правового акта содержит положения, изменяющие ранее предусмотренные муниципальными нормативными правовыми актами муниципального образования Курганинский район обязательные требования, обязанности и запреты для субъектов предпринимательской и инвестиционной деятельности, </w:t>
            </w:r>
            <w:r>
              <w:rPr>
                <w:sz w:val="28"/>
                <w:szCs w:val="28"/>
              </w:rPr>
              <w:t>также изменяется содержание и порядок реализации полномочий органов местного самоуправления     муниципального        образования       Курганинский      район</w:t>
            </w:r>
          </w:p>
          <w:p>
            <w:pPr>
              <w:pStyle w:val="Normal"/>
              <w:spacing w:lineRule="auto" w:line="240"/>
              <w:ind w:left="0" w:right="0" w:hanging="0"/>
              <w:jc w:val="both"/>
              <w:rPr/>
            </w:pPr>
            <w:r>
              <w:rPr>
                <w:sz w:val="28"/>
                <w:szCs w:val="28"/>
              </w:rPr>
              <w:t xml:space="preserve">в   отношениях   с    </w:t>
            </w:r>
            <w:r>
              <w:rPr>
                <w:rFonts w:cs="Times New Roman"/>
                <w:i w:val="false"/>
                <w:iCs w:val="false"/>
                <w:sz w:val="28"/>
                <w:szCs w:val="28"/>
              </w:rPr>
              <w:t xml:space="preserve">субъектами   </w:t>
            </w:r>
            <w:r>
              <w:rPr>
                <w:rFonts w:cs="Times New Roman"/>
                <w:b w:val="false"/>
                <w:i w:val="false"/>
                <w:iCs w:val="false"/>
                <w:sz w:val="28"/>
                <w:szCs w:val="28"/>
              </w:rPr>
              <w:t>предпринимательской    и иной экономической</w:t>
            </w:r>
          </w:p>
          <w:p>
            <w:pPr>
              <w:pStyle w:val="Normal"/>
              <w:spacing w:lineRule="auto" w:line="240"/>
              <w:ind w:left="0" w:right="0" w:hanging="0"/>
              <w:jc w:val="both"/>
              <w:rPr/>
            </w:pPr>
            <w:r>
              <w:rPr>
                <w:rFonts w:cs="Times New Roman"/>
                <w:b w:val="false"/>
                <w:i w:val="false"/>
                <w:iCs w:val="false"/>
                <w:sz w:val="28"/>
                <w:szCs w:val="28"/>
              </w:rPr>
              <w:t>деятельности, обязанности для субъектов инвестиционной деятельности</w:t>
            </w:r>
            <w:r>
              <w:rPr>
                <w:sz w:val="28"/>
                <w:szCs w:val="28"/>
              </w:rPr>
              <w:t>.</w:t>
            </w:r>
          </w:p>
          <w:p>
            <w:pPr>
              <w:pStyle w:val="Normal"/>
              <w:tabs>
                <w:tab w:val="clear" w:pos="708"/>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8"/>
                <w:tab w:val="left" w:pos="993" w:leader="none"/>
              </w:tabs>
              <w:spacing w:lineRule="auto" w:line="240"/>
              <w:ind w:left="0" w:right="0" w:hanging="0"/>
              <w:jc w:val="both"/>
              <w:rPr/>
            </w:pPr>
            <w:r>
              <w:rPr>
                <w:sz w:val="28"/>
                <w:szCs w:val="28"/>
              </w:rPr>
              <w:t xml:space="preserve">регулирования для экономического развития муниципального образования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highlight w:val="white"/>
              </w:rPr>
              <w:t xml:space="preserve">6. </w:t>
            </w:r>
            <w:r>
              <w:rPr>
                <w:rFonts w:cs="Times New Roman"/>
                <w:sz w:val="28"/>
                <w:szCs w:val="28"/>
                <w:highlight w:val="white"/>
              </w:rPr>
              <w:t xml:space="preserve">Дополнительные расходы бюджета муниципального образования Курганинский район, а также </w:t>
            </w:r>
            <w:r>
              <w:rPr>
                <w:rFonts w:eastAsia="Times New Roman" w:cs="Times New Roman"/>
                <w:color w:val="auto"/>
                <w:kern w:val="0"/>
                <w:sz w:val="28"/>
                <w:szCs w:val="28"/>
                <w:highlight w:val="white"/>
                <w:lang w:val="ru-RU" w:eastAsia="ru-RU" w:bidi="ar-SA"/>
              </w:rPr>
              <w:t>расходы субъектов предпринимательской                       и инвестиционной деятельности,</w:t>
            </w:r>
            <w:r>
              <w:rPr>
                <w:rFonts w:cs="Times New Roman"/>
                <w:sz w:val="28"/>
                <w:szCs w:val="28"/>
                <w:highlight w:val="white"/>
              </w:rPr>
              <w:t xml:space="preserve"> понесенные от регулирующего воздействия предлагаемого проекта муниципального нормативного правового акта                         не предполагаются.</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с 1</w:t>
            </w:r>
            <w:r>
              <w:rPr>
                <w:rFonts w:eastAsia="Times New Roman" w:cs="Times New Roman"/>
                <w:sz w:val="28"/>
                <w:szCs w:val="28"/>
              </w:rPr>
              <w:t>2</w:t>
            </w:r>
            <w:r>
              <w:rPr>
                <w:rFonts w:eastAsia="Times New Roman" w:cs="Times New Roman"/>
                <w:sz w:val="28"/>
                <w:szCs w:val="28"/>
              </w:rPr>
              <w:t xml:space="preserve"> по 2</w:t>
            </w:r>
            <w:r>
              <w:rPr>
                <w:rFonts w:eastAsia="Times New Roman" w:cs="Times New Roman"/>
                <w:sz w:val="28"/>
                <w:szCs w:val="28"/>
              </w:rPr>
              <w:t>6</w:t>
            </w:r>
            <w:r>
              <w:rPr>
                <w:rFonts w:eastAsia="Times New Roman" w:cs="Times New Roman"/>
                <w:sz w:val="28"/>
                <w:szCs w:val="28"/>
              </w:rPr>
              <w:t xml:space="preserve"> апреля 2023 года.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8"/>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Курганинской торгово-промышленной палаты,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8"/>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8"/>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p>
            <w:pPr>
              <w:pStyle w:val="Normal"/>
              <w:tabs>
                <w:tab w:val="clear" w:pos="708"/>
                <w:tab w:val="left" w:pos="867" w:leader="none"/>
                <w:tab w:val="left" w:pos="5387" w:leader="none"/>
              </w:tabs>
              <w:spacing w:lineRule="auto" w:line="240"/>
              <w:jc w:val="both"/>
              <w:rPr>
                <w:sz w:val="28"/>
                <w:szCs w:val="28"/>
              </w:rPr>
            </w:pPr>
            <w:r>
              <w:rPr>
                <w:sz w:val="28"/>
                <w:szCs w:val="28"/>
              </w:rPr>
            </w:r>
          </w:p>
          <w:p>
            <w:pPr>
              <w:pStyle w:val="Normal"/>
              <w:tabs>
                <w:tab w:val="clear" w:pos="708"/>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8"/>
                      <w:tab w:val="left" w:pos="60" w:leader="none"/>
                      <w:tab w:val="left" w:pos="867" w:leader="none"/>
                      <w:tab w:val="left" w:pos="5387" w:leader="none"/>
                    </w:tabs>
                    <w:spacing w:lineRule="auto" w:line="240"/>
                    <w:jc w:val="both"/>
                    <w:rPr/>
                  </w:pPr>
                  <w:r>
                    <w:rPr>
                      <w:sz w:val="28"/>
                      <w:szCs w:val="28"/>
                    </w:rPr>
                    <w:t xml:space="preserve">Начальник отдела инвестиций </w:t>
                  </w:r>
                </w:p>
                <w:p>
                  <w:pPr>
                    <w:pStyle w:val="Normal"/>
                    <w:tabs>
                      <w:tab w:val="clear" w:pos="708"/>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8"/>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8"/>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8"/>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Е.В. Разумеева</w:t>
                  </w:r>
                  <w:r>
                    <w:rPr>
                      <w:sz w:val="28"/>
                      <w:szCs w:val="28"/>
                    </w:rPr>
                    <w:t xml:space="preserve">                                    </w:t>
                  </w:r>
                  <w:r>
                    <w:rPr>
                      <w:sz w:val="28"/>
                      <w:szCs w:val="28"/>
                    </w:rPr>
                    <w:t>4</w:t>
                  </w:r>
                  <w:r>
                    <w:rPr>
                      <w:sz w:val="28"/>
                      <w:szCs w:val="28"/>
                    </w:rPr>
                    <w:t xml:space="preserve"> мая 2023 г.                           ______________</w:t>
                  </w:r>
                </w:p>
              </w:tc>
            </w:tr>
            <w:tr>
              <w:trPr/>
              <w:tc>
                <w:tcPr>
                  <w:tcW w:w="9923" w:type="dxa"/>
                  <w:tcBorders/>
                  <w:shd w:fill="auto" w:val="clear"/>
                </w:tcPr>
                <w:p>
                  <w:pPr>
                    <w:pStyle w:val="Style27"/>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8"/>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8"/>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7"/>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r>
  </w:p>
  <w:p>
    <w:pPr>
      <w:pStyle w:val="Style23"/>
      <w:rPr/>
    </w:pPr>
    <w:r>
      <w:rPr/>
    </w:r>
  </w:p>
</w:hdr>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0"/>
        <w:lang w:val="ru-RU" w:eastAsia="ru-RU" w:bidi="ar-SA"/>
      </w:rPr>
    </w:rPrDefault>
    <w:pPrDefault>
      <w:pPr/>
    </w:pPrDefault>
  </w:docDefaults>
  <w:style w:type="paragraph" w:styleId="Normal">
    <w:name w:val="Normal"/>
    <w:qFormat/>
    <w:pPr>
      <w:widowControl/>
      <w:overflowPunct w:val="fals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paragraph" w:styleId="Style17">
    <w:name w:val="Заголовок"/>
    <w:basedOn w:val="Normal"/>
    <w:next w:val="Style18"/>
    <w:qFormat/>
    <w:pPr>
      <w:keepNext w:val="true"/>
      <w:spacing w:before="240" w:after="120"/>
    </w:pPr>
    <w:rPr>
      <w:rFonts w:ascii="Liberation Sans" w:hAnsi="Liberation Sans" w:eastAsia="Droid Sans Fallback" w:cs="DejaVu Sans"/>
      <w:sz w:val="28"/>
      <w:szCs w:val="28"/>
    </w:rPr>
  </w:style>
  <w:style w:type="paragraph" w:styleId="Style18">
    <w:name w:val="Body Text"/>
    <w:basedOn w:val="Normal"/>
    <w:pPr>
      <w:jc w:val="both"/>
    </w:pPr>
    <w:rPr/>
  </w:style>
  <w:style w:type="paragraph" w:styleId="Style19">
    <w:name w:val="List"/>
    <w:basedOn w:val="Style18"/>
    <w:pPr/>
    <w:rPr>
      <w:rFonts w:cs="DejaVu Sans"/>
    </w:rPr>
  </w:style>
  <w:style w:type="paragraph" w:styleId="Style20">
    <w:name w:val="Caption"/>
    <w:basedOn w:val="Normal"/>
    <w:qFormat/>
    <w:pPr>
      <w:suppressLineNumbers/>
      <w:spacing w:before="120" w:after="120"/>
    </w:pPr>
    <w:rPr>
      <w:rFonts w:cs="DejaVu Sans"/>
      <w:i/>
      <w:iCs/>
      <w:sz w:val="24"/>
      <w:szCs w:val="24"/>
    </w:rPr>
  </w:style>
  <w:style w:type="paragraph" w:styleId="Style21">
    <w:name w:val="Указатель"/>
    <w:basedOn w:val="Normal"/>
    <w:qFormat/>
    <w:pPr>
      <w:suppressLineNumbers/>
    </w:pPr>
    <w:rPr>
      <w:rFonts w:cs="DejaVu Sans"/>
    </w:rPr>
  </w:style>
  <w:style w:type="paragraph" w:styleId="Style22">
    <w:name w:val="Верхний и нижний колонтитулы"/>
    <w:basedOn w:val="Normal"/>
    <w:qFormat/>
    <w:pPr/>
    <w:rPr/>
  </w:style>
  <w:style w:type="paragraph" w:styleId="Style23">
    <w:name w:val="Header"/>
    <w:basedOn w:val="Normal"/>
    <w:pPr>
      <w:tabs>
        <w:tab w:val="clear" w:pos="708"/>
        <w:tab w:val="center" w:pos="4677" w:leader="none"/>
        <w:tab w:val="right" w:pos="9355" w:leader="none"/>
      </w:tabs>
    </w:pPr>
    <w:rPr/>
  </w:style>
  <w:style w:type="paragraph" w:styleId="Style24">
    <w:name w:val="Footer"/>
    <w:basedOn w:val="Normal"/>
    <w:pPr>
      <w:tabs>
        <w:tab w:val="clear" w:pos="708"/>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5">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6">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fals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fals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fals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fals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7">
    <w:name w:val="Нормальный (таблица)"/>
    <w:basedOn w:val="Normal"/>
    <w:qFormat/>
    <w:pPr>
      <w:widowControl w:val="false"/>
      <w:jc w:val="both"/>
    </w:pPr>
    <w:rPr>
      <w:rFonts w:ascii="Arial" w:hAnsi="Arial" w:cs="Arial"/>
    </w:rPr>
  </w:style>
  <w:style w:type="paragraph" w:styleId="Style28">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fals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29">
    <w:name w:val="Заголовок списка"/>
    <w:basedOn w:val="Normal"/>
    <w:qFormat/>
    <w:pPr>
      <w:ind w:left="0" w:right="0" w:hanging="0"/>
    </w:pPr>
    <w:rPr/>
  </w:style>
  <w:style w:type="paragraph" w:styleId="Style30">
    <w:name w:val="Содержимое списка"/>
    <w:basedOn w:val="Normal"/>
    <w:qFormat/>
    <w:pPr>
      <w:ind w:left="567" w:right="0" w:hanging="0"/>
    </w:pPr>
    <w:rPr/>
  </w:style>
  <w:style w:type="paragraph" w:styleId="Style31">
    <w:name w:val="Обычный (Интернет)"/>
    <w:basedOn w:val="Normal"/>
    <w:qFormat/>
    <w:pPr>
      <w:spacing w:before="280" w:after="280"/>
    </w:pPr>
    <w:rPr/>
  </w:style>
  <w:style w:type="paragraph" w:styleId="Style32">
    <w:name w:val="Содержимое таблицы"/>
    <w:basedOn w:val="Normal"/>
    <w:qFormat/>
    <w:pPr>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1016</TotalTime>
  <Application>LibreOffice/6.3.6.2$Linux_X86_64 LibreOffice_project/30$Build-2</Application>
  <Pages>4</Pages>
  <Words>994</Words>
  <Characters>8257</Characters>
  <CharactersWithSpaces>10241</CharactersWithSpaces>
  <Paragraphs>51</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2023-05-05T11:44:28Z</cp:lastPrinted>
  <dcterms:modified xsi:type="dcterms:W3CDTF">2023-05-05T11:55:17Z</dcterms:modified>
  <cp:revision>49</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