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решения Совета муниципального образования Курганинский район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lang w:val="ru-RU" w:eastAsia="ru-RU" w:bidi="ar-SA"/>
        </w:rPr>
        <w:t>«О внесении изменений в решение Совета муниципального образования Курганинский район от 22 июня 2022 г. № 189</w:t>
      </w:r>
      <w:r>
        <w:rPr>
          <w:rFonts w:eastAsia="Times New Roman" w:cs="Times New Roman" w:ascii="Times New Roman" w:hAnsi="Times New Roman"/>
          <w:b/>
          <w:bCs/>
          <w:i w:val="false"/>
          <w:iCs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lang w:val="ru-RU" w:eastAsia="ru-RU" w:bidi="ar-SA"/>
        </w:rPr>
        <w:t>Об утверждении местных нормативов градостроительного проектирования Петропавловского сельского поселения Курганинского района»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21</w:t>
      </w:r>
      <w:r>
        <w:rPr>
          <w:rFonts w:eastAsia="Times New Roman" w:cs="Times New Roman" w:ascii="Times New Roman" w:hAnsi="Times New Roman"/>
          <w:sz w:val="28"/>
        </w:rPr>
        <w:t xml:space="preserve"> апреля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мая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LibreOffice/6.3.6.2$Linux_X86_64 LibreOffice_project/30$Build-2</Application>
  <Pages>1</Pages>
  <Words>119</Words>
  <Characters>896</Characters>
  <CharactersWithSpaces>1046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2023-04-24T15:23:06Z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