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W w:w="999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60"/>
        <w:gridCol w:w="442"/>
        <w:gridCol w:w="279"/>
        <w:gridCol w:w="560"/>
        <w:gridCol w:w="420"/>
        <w:gridCol w:w="140"/>
        <w:gridCol w:w="141"/>
        <w:gridCol w:w="139"/>
        <w:gridCol w:w="560"/>
        <w:gridCol w:w="152"/>
        <w:gridCol w:w="128"/>
        <w:gridCol w:w="140"/>
        <w:gridCol w:w="15"/>
        <w:gridCol w:w="145"/>
        <w:gridCol w:w="680"/>
        <w:gridCol w:w="700"/>
        <w:gridCol w:w="35"/>
        <w:gridCol w:w="141"/>
        <w:gridCol w:w="244"/>
        <w:gridCol w:w="602"/>
        <w:gridCol w:w="288"/>
        <w:gridCol w:w="510"/>
        <w:gridCol w:w="57"/>
        <w:gridCol w:w="83"/>
        <w:gridCol w:w="140"/>
        <w:gridCol w:w="61"/>
        <w:gridCol w:w="219"/>
        <w:gridCol w:w="140"/>
        <w:gridCol w:w="778"/>
        <w:gridCol w:w="222"/>
        <w:gridCol w:w="357"/>
        <w:gridCol w:w="203"/>
        <w:gridCol w:w="140"/>
        <w:gridCol w:w="273"/>
        <w:gridCol w:w="364"/>
        <w:gridCol w:w="103"/>
      </w:tblGrid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Сводный отчёт</w:t>
            </w:r>
          </w:p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/>
              <w:t xml:space="preserve">о результатах   проведения  оценки  регулирующего  воздействия </w:t>
            </w:r>
            <w:r>
              <w:rPr>
                <w:rFonts w:eastAsia="Calibri"/>
                <w:lang w:eastAsia="en-US"/>
              </w:rPr>
              <w:t>проекта  постановления «О внесении изменений в постановление администрации муниципального образования Курганинский район от 29 июля 2022 г. № 776 «О внесении изменений в постановление администрации муниципального образования Курганинский район от 27 мая 2016 г. № 383 «Об утверждении административного регламента по предоставлению муниципальной услуги  «Предоставление в собственность, аренду,  безвозмездное пользование  земельного участка, находящегося в государственной или муниципальной  собственности, без проведения торгов»</w:t>
            </w:r>
          </w:p>
          <w:p>
            <w:pPr>
              <w:pStyle w:val="Normal"/>
              <w:ind w:firstLine="7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Общая информация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1.1. Регулирующий орган: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администрация муниципального образования  Курганинский район через управление имущественных отношений администрации муниципального образования Курганинский район.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/>
                <w:b/>
                <w:i/>
                <w:iCs/>
                <w:lang w:eastAsia="en-US"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/>
                <w:b/>
                <w:i/>
                <w:i/>
                <w:lang w:eastAsia="en-US"/>
              </w:rPr>
            </w:pPr>
            <w:r>
              <w:rPr>
                <w:rFonts w:eastAsia="Times New Roman"/>
                <w:b/>
                <w:i/>
                <w:lang w:eastAsia="en-US"/>
              </w:rPr>
              <w:t xml:space="preserve">       </w:t>
            </w:r>
            <w:r>
              <w:rPr>
                <w:rFonts w:eastAsia="Calibri"/>
                <w:b/>
                <w:i/>
                <w:lang w:eastAsia="en-US"/>
              </w:rPr>
              <w:t>Проект постановления администрации муниципального образования   Курганинский район «О внесении изменений в постановление администрации муниципального образования Курганинский район от 29 июля 2022 г.    № 776 «О внесении изменений в постановление администрации муниципального образования Курганинский район от 27 мая 2016 г. № 383 «Об утверждении административного регламента по предоставлению муниципальной услуги  «Предоставление в собственность, аренду, 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i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2237" w:type="dxa"/>
            <w:gridSpan w:val="7"/>
            <w:tcBorders/>
          </w:tcPr>
          <w:p>
            <w:pPr>
              <w:pStyle w:val="Style22"/>
              <w:rPr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правового акта:</w:t>
            </w:r>
          </w:p>
        </w:tc>
        <w:tc>
          <w:tcPr>
            <w:tcW w:w="7657" w:type="dxa"/>
            <w:gridSpan w:val="29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апрель 2023 года.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237" w:type="dxa"/>
            <w:gridSpan w:val="7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7657" w:type="dxa"/>
            <w:gridSpan w:val="29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jc w:val="left"/>
              <w:rPr/>
            </w:pPr>
            <w:r>
              <w:rPr>
                <w:rFonts w:cs="Times New Roman" w:ascii="Times New Roman" w:hAnsi="Times New Roman"/>
                <w:b/>
                <w:i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i/>
              </w:rPr>
              <w:t>Действующий административный регламент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не соответствует действующему законодательству, в связи с внесением изменений в части сроков рассмотрения заявлений и оснований предоставления  земельных участков.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firstLine="709"/>
              <w:jc w:val="both"/>
              <w:rPr/>
            </w:pPr>
            <w:r>
              <w:rPr>
                <w:b/>
                <w:i/>
              </w:rPr>
              <w:t xml:space="preserve">Проект нормативного правового акта разработан в целях </w:t>
            </w:r>
            <w:r>
              <w:rPr>
                <w:rFonts w:eastAsia="WenQuanYi Micro Hei;MS Gothic"/>
                <w:b/>
                <w:i/>
                <w:kern w:val="2"/>
                <w:lang w:bidi="hi-IN"/>
              </w:rPr>
              <w:t xml:space="preserve">повышения качества и доступности предоставления муниципальной услуги                      и </w:t>
            </w:r>
            <w:r>
              <w:rPr>
                <w:rFonts w:eastAsia="DejaVu Sans"/>
                <w:b/>
                <w:i/>
                <w:kern w:val="2"/>
                <w:lang w:bidi="hi-IN"/>
              </w:rPr>
              <w:t>определяет состав, последовательность, процедуры, сроки и особенности выполнения административных процедур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iCs/>
              </w:rPr>
              <w:t>1.6. Краткое описание содержания предлагаемого правового регулирования</w:t>
            </w:r>
            <w:r>
              <w:rPr>
                <w:rFonts w:cs="Times New Roman" w:ascii="Times New Roman" w:hAnsi="Times New Roman"/>
                <w:b/>
                <w:iCs/>
              </w:rPr>
              <w:t>:</w:t>
            </w:r>
            <w:r>
              <w:rPr/>
              <w:t xml:space="preserve"> </w:t>
            </w:r>
          </w:p>
          <w:p>
            <w:pPr>
              <w:pStyle w:val="Style22"/>
              <w:rPr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       </w:t>
            </w:r>
            <w:r>
              <w:rPr>
                <w:rFonts w:cs="Times New Roman" w:ascii="Times New Roman" w:hAnsi="Times New Roman"/>
                <w:b/>
                <w:i/>
              </w:rPr>
              <w:t xml:space="preserve">Предлагаемое правовое регулирование распространяется на правоотношения по предоставлению в собственность, аренду, безвозмездное пользование земельных  участков без проведения торгов, находящихся в муниципальной собственности, и земельных участков,  государственная собственность на которые не разграничена в случаях, установленных Земельным кодексом РФ, а также в 2023 году распространяется на правоотношения в случаях, предусмотренных подпунктами «а» - «в» пункта 1, пунктами 2, 3 постановления Правительства Российской Федерации от 9 апреля 2022 г.  № 629 «Об особенностях регулирования земельных отношений в Российской Федерации в 2022 и 2023 </w:t>
            </w:r>
            <w:r>
              <w:rPr>
                <w:rFonts w:cs="Times New Roman" w:ascii="Times New Roman" w:hAnsi="Times New Roman"/>
                <w:b/>
                <w:i/>
                <w:u w:val="single"/>
              </w:rPr>
              <w:t>годах».__________________________________________________________________________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Cs/>
                <w:highlight w:val="lightGray"/>
              </w:rPr>
            </w:pPr>
            <w:r>
              <w:rPr>
                <w:b/>
                <w:iCs/>
                <w:highlight w:val="lightGray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i/>
              </w:rPr>
              <w:t xml:space="preserve">                                       </w:t>
            </w: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1.6.1. Степень регулирующего воздействия: </w:t>
            </w:r>
            <w:r>
              <w:rPr>
                <w:b/>
              </w:rPr>
              <w:t>средняя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Обоснование степени регулирующего воздействия: </w:t>
            </w:r>
            <w:r>
              <w:rPr>
                <w:b/>
                <w:i/>
              </w:rPr>
              <w:t xml:space="preserve">проект муниципального  нормативного правового акта содержит положения, устанавливающие   обязательные требования, обязанности и запреты для субъектов предпринимательской и инвестиционной деятельности. </w:t>
            </w:r>
            <w:r>
              <w:rPr/>
              <w:t xml:space="preserve"> 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17" w:type="dxa"/>
            <w:gridSpan w:val="4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8777" w:type="dxa"/>
            <w:gridSpan w:val="32"/>
            <w:tcBorders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Лукьяненко Елена Владимировна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677" w:type="dxa"/>
            <w:gridSpan w:val="5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Должность:</w:t>
            </w:r>
          </w:p>
        </w:tc>
        <w:tc>
          <w:tcPr>
            <w:tcW w:w="8217" w:type="dxa"/>
            <w:gridSpan w:val="31"/>
            <w:tcBorders>
              <w:bottom w:val="single" w:sz="4" w:space="0" w:color="000000"/>
            </w:tcBorders>
          </w:tcPr>
          <w:p>
            <w:pPr>
              <w:pStyle w:val="Style22"/>
              <w:ind w:firstLine="21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Начальник управления имущественных отношений администрации муниципального образования Курганинский район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838" w:type="dxa"/>
            <w:gridSpan w:val="3"/>
            <w:tcBorders/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Тел:</w:t>
            </w:r>
          </w:p>
        </w:tc>
        <w:tc>
          <w:tcPr>
            <w:tcW w:w="2519" w:type="dxa"/>
            <w:gridSpan w:val="9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86147 2-10-67</w:t>
            </w:r>
          </w:p>
        </w:tc>
        <w:tc>
          <w:tcPr>
            <w:tcW w:w="3500" w:type="dxa"/>
            <w:gridSpan w:val="11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3037" w:type="dxa"/>
            <w:gridSpan w:val="13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  <w:lang w:val="en-US"/>
              </w:rPr>
              <w:t>k</w:t>
            </w:r>
            <w:r>
              <w:rPr>
                <w:rFonts w:cs="Times New Roman" w:ascii="Times New Roman" w:hAnsi="Times New Roman"/>
                <w:b/>
                <w:i/>
              </w:rPr>
              <w:t>urg_a</w:t>
            </w:r>
            <w:r>
              <w:rPr>
                <w:rFonts w:cs="Times New Roman" w:ascii="Times New Roman" w:hAnsi="Times New Roman"/>
                <w:b/>
                <w:i/>
                <w:lang w:val="en-US"/>
              </w:rPr>
              <w:t>dm</w:t>
            </w:r>
            <w:r>
              <w:rPr>
                <w:rFonts w:cs="Times New Roman" w:ascii="Times New Roman" w:hAnsi="Times New Roman"/>
                <w:b/>
                <w:i/>
              </w:rPr>
              <w:t>@mail.ru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Style22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2. Описание проблемы, на решение которой направлено предлагаемое правовое регулирование:</w:t>
            </w:r>
          </w:p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связи с внесением изменений в действующее земельное законодательство в части изменения сроков рассмотрения заявлений и оснований   предоставления  земельных участков без проведения торгов необходимо внести изменения в действующий административный регламент по предоставлению муниципальной услуги «Предоставление в собственность, аренду, безвозмездное пользование земельного участка, находящегося в </w:t>
            </w:r>
            <w:r>
              <w:rPr>
                <w:b/>
                <w:bCs/>
                <w:i/>
                <w:iCs/>
                <w:u w:val="single"/>
              </w:rPr>
              <w:t>государственной или муниципальной собственности, без проведения торгов».</w:t>
            </w:r>
            <w:r>
              <w:rPr>
                <w:b/>
                <w:bCs/>
                <w:i/>
                <w:iCs/>
              </w:rPr>
              <w:t xml:space="preserve"> __________                                                             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i/>
                <w:iCs/>
              </w:rPr>
              <w:t xml:space="preserve">                                                    </w:t>
            </w:r>
            <w:r>
              <w:rPr>
                <w:i/>
                <w:iCs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0" w:hRule="atLeast"/>
        </w:trPr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ind w:firstLine="720"/>
              <w:jc w:val="both"/>
              <w:rPr/>
            </w:pPr>
            <w:r>
              <w:rPr>
                <w:b/>
                <w:i/>
              </w:rPr>
              <w:t>Правовое регулирование указанной проблемы обусловлено необходимостью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 в соответствии с действующим законодательством.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 ранее для её решения, достигнутых результатах и затраченных ресурсах: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Необходимость внесения изменений в административный регламент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 возникла в связи с изменением сроков и оснований предоставления данной услуги.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органы местного самоуправления, субъекты малого и среднего предпринимательства, физические и юридические лица.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i/>
              </w:rPr>
              <w:t>Негативные эффекты заключаются в невозможности корректного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i/>
              </w:rPr>
              <w:t>Возникновение проблемы обусловлено изменением действующего законодательства.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/>
            </w:pPr>
            <w:r>
              <w:rPr>
                <w:rFonts w:cs="Times New Roman" w:ascii="Times New Roman" w:hAnsi="Times New Roman"/>
                <w:b/>
                <w:i/>
              </w:rPr>
              <w:t>Указанная проблема может быть решена исключительно                   посредством принятия документа о внесении изменений в Регламент.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В других субъектах Российской Федерации данная проблема решена аналогичным образом.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Информационно-телекоммуникационная сеть «Интернет», порталы государственных и муниципальных услуг.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отсутствует.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bookmarkStart w:id="0" w:name="sub_10003"/>
            <w:r>
              <w:rPr>
                <w:rFonts w:cs="Times New Roman" w:ascii="Times New Roman" w:hAnsi="Times New Roman"/>
                <w:b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0"/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3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3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Предоставление муниципальной услуги </w:t>
            </w:r>
            <w:r>
              <w:rPr>
                <w:rFonts w:eastAsia="Calibri"/>
                <w:b/>
                <w:i/>
                <w:lang w:eastAsia="en-US"/>
              </w:rPr>
      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  <w:p>
            <w:pPr>
              <w:pStyle w:val="Style23"/>
              <w:rPr/>
            </w:pPr>
            <w:r>
              <w:rPr/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апрель 2023 года</w:t>
            </w:r>
          </w:p>
        </w:tc>
        <w:tc>
          <w:tcPr>
            <w:tcW w:w="35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отсутствует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3.4. Действующие нормативные правовые акты, поручения, другие решения,     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96" w:type="dxa"/>
            <w:gridSpan w:val="2"/>
            <w:tcBorders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9601" w:type="dxa"/>
            <w:gridSpan w:val="35"/>
            <w:tcBorders>
              <w:bottom w:val="single" w:sz="4" w:space="0" w:color="000000"/>
            </w:tcBorders>
          </w:tcPr>
          <w:p>
            <w:pPr>
              <w:pStyle w:val="1"/>
              <w:numPr>
                <w:ilvl w:val="0"/>
                <w:numId w:val="0"/>
              </w:numPr>
              <w:ind w:left="-102" w:firstLine="102"/>
              <w:rPr>
                <w:b/>
                <w:b/>
                <w:i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1.Федеральный закон от 5 декабря 2022 г. № 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Федерации»;</w:t>
            </w:r>
          </w:p>
          <w:p>
            <w:pPr>
              <w:pStyle w:val="1"/>
              <w:numPr>
                <w:ilvl w:val="0"/>
                <w:numId w:val="0"/>
              </w:numPr>
              <w:ind w:left="-102" w:firstLine="102"/>
              <w:rPr/>
            </w:pPr>
            <w:r>
              <w:rPr>
                <w:b/>
                <w:i/>
                <w:color w:val="000000"/>
                <w:sz w:val="24"/>
                <w:szCs w:val="24"/>
              </w:rPr>
              <w:t>2. Федеральный закон от 14 июля 2022 г. № 316-ФЗ «О внесении изменений в отдельные законодательные акты Российской Федерации»;</w:t>
            </w:r>
          </w:p>
          <w:p>
            <w:pPr>
              <w:pStyle w:val="1"/>
              <w:numPr>
                <w:ilvl w:val="0"/>
                <w:numId w:val="0"/>
              </w:numPr>
              <w:ind w:left="-102" w:firstLine="102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3. постановление Правительства Российской Федерации от 9 апреля 2022 г. № 629 «Об особенностях регулирования земельных отношений в Российской Федерации в 2022 и 2023 годах».                </w:t>
            </w:r>
          </w:p>
        </w:tc>
      </w:tr>
      <w:tr>
        <w:trPr/>
        <w:tc>
          <w:tcPr>
            <w:tcW w:w="236" w:type="dxa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9761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3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Предоставление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  <w:p>
            <w:pPr>
              <w:pStyle w:val="Style2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Принятие муниципального нормативного правового акта</w:t>
            </w:r>
          </w:p>
        </w:tc>
        <w:tc>
          <w:tcPr>
            <w:tcW w:w="1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2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ind w:firstLine="709"/>
              <w:rPr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u w:val="single"/>
              </w:rPr>
              <w:t>затраты отсутствуют__________________________________________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  <w:u w:val="single"/>
              </w:rPr>
            </w:pPr>
            <w:r>
              <w:rPr>
                <w:i/>
                <w:u w:val="single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keepNext w:val="true"/>
              <w:widowControl/>
              <w:rPr/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keepNext w:val="true"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54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widowControl/>
              <w:jc w:val="center"/>
              <w:rPr/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keepNext w:val="true"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физические лица, в том числе зарегистрированные в качестве индивидуальных предпринимателей, юридические лица, либо их уполномоченные представители</w:t>
            </w:r>
          </w:p>
        </w:tc>
        <w:tc>
          <w:tcPr>
            <w:tcW w:w="2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54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      </w:r>
            <w:hyperlink r:id="rId2">
              <w:r>
                <w:rPr>
                  <w:b/>
                  <w:i/>
                  <w:color w:val="000000"/>
                  <w:u w:val="none"/>
                </w:rPr>
                <w:t>частью 3 статьи 14</w:t>
              </w:r>
            </w:hyperlink>
            <w:r>
              <w:rPr>
                <w:b/>
                <w:i/>
              </w:rPr>
              <w:t xml:space="preserve"> Федерального закона от 24 июля 2007 г. № 209-ФЗ</w:t>
            </w:r>
          </w:p>
        </w:tc>
        <w:tc>
          <w:tcPr>
            <w:tcW w:w="2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Наименование органа местного самоуправления: </w:t>
            </w:r>
            <w:r>
              <w:rPr>
                <w:b/>
                <w:i/>
                <w:color w:val="000000"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Предоставление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  <w:p>
            <w:pPr>
              <w:pStyle w:val="Normal"/>
              <w:autoSpaceDE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существующая</w:t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В соответствии с регламентом предоставления муниципальной услуги</w:t>
            </w:r>
          </w:p>
        </w:tc>
        <w:tc>
          <w:tcPr>
            <w:tcW w:w="2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keepNext w:val="true"/>
              <w:keepLines/>
              <w:widowControl/>
              <w:rPr/>
            </w:pPr>
            <w:bookmarkStart w:id="5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keepNext w:val="true"/>
              <w:keepLines/>
              <w:widowControl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>
          <w:trHeight w:val="2069" w:hRule="atLeast"/>
        </w:trPr>
        <w:tc>
          <w:tcPr>
            <w:tcW w:w="34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Fonts w:cs="Times New Roman" w:ascii="Times New Roman" w:hAnsi="Times New Roman"/>
                  <w:b/>
                  <w:color w:val="000000"/>
                  <w:sz w:val="24"/>
                  <w:szCs w:val="24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atLeast"/>
        </w:trPr>
        <w:tc>
          <w:tcPr>
            <w:tcW w:w="9894" w:type="dxa"/>
            <w:gridSpan w:val="3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b/>
                <w:i/>
                <w:color w:val="000000"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349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>Предоставление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</w:p>
          <w:p>
            <w:pPr>
              <w:pStyle w:val="Style23"/>
              <w:rPr/>
            </w:pPr>
            <w:r>
              <w:rPr/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4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4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49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34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497" w:type="dxa"/>
            <w:gridSpan w:val="1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не предусмотрены</w:t>
            </w:r>
          </w:p>
        </w:tc>
        <w:tc>
          <w:tcPr>
            <w:tcW w:w="28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             в связи с введением предлагаемого правового регулирования: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077" w:type="dxa"/>
            <w:gridSpan w:val="10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6817" w:type="dxa"/>
            <w:gridSpan w:val="26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Fonts w:cs="Times New Roman" w:ascii="Times New Roman" w:hAnsi="Times New Roman"/>
                  <w:b/>
                  <w:color w:val="000000"/>
                  <w:sz w:val="24"/>
                  <w:szCs w:val="24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настоящего сводного отчёта)</w:t>
            </w:r>
          </w:p>
        </w:tc>
        <w:tc>
          <w:tcPr>
            <w:tcW w:w="3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>физические лица, в том числе зарегистрированные в качестве индивидуальных предпринимателей, юридические лица, либо их уполномоченные представители</w:t>
            </w:r>
          </w:p>
        </w:tc>
        <w:tc>
          <w:tcPr>
            <w:tcW w:w="3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2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noBreakHyphen/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noBreakHyphen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5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 xml:space="preserve">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      </w:r>
            <w:hyperlink r:id="rId3">
              <w:r>
                <w:rPr>
                  <w:b/>
                  <w:i/>
                  <w:color w:val="000000"/>
                  <w:u w:val="none"/>
                </w:rPr>
                <w:t>частью 3 статьи 14</w:t>
              </w:r>
            </w:hyperlink>
            <w:r>
              <w:rPr>
                <w:b/>
                <w:i/>
              </w:rPr>
              <w:t xml:space="preserve"> Федерального закона от 24 июля 2007 г. № 209-ФЗ</w:t>
            </w:r>
          </w:p>
        </w:tc>
        <w:tc>
          <w:tcPr>
            <w:tcW w:w="3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-102" w:hanging="0"/>
              <w:jc w:val="both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2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noBreakHyphen/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noBreakHyphen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037" w:type="dxa"/>
            <w:gridSpan w:val="17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4857" w:type="dxa"/>
            <w:gridSpan w:val="19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357" w:type="dxa"/>
            <w:gridSpan w:val="12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6537" w:type="dxa"/>
            <w:gridSpan w:val="24"/>
            <w:tcBorders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2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Принятие предлагаемого правового регулирования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Неблагоприятные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последствия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noBreakHyphen/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noBreakHyphen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Отсутствие должного правового регулирование правоотношений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noBreakHyphen/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noBreakHyphen/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3357" w:type="dxa"/>
            <w:gridSpan w:val="12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6537" w:type="dxa"/>
            <w:gridSpan w:val="24"/>
            <w:tcBorders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3357" w:type="dxa"/>
            <w:gridSpan w:val="12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6537" w:type="dxa"/>
            <w:gridSpan w:val="24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Не принятие предлагаемого правового регулирования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Принятие предлагаемого правового регулирования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noBreakHyphen/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noBreakHyphen/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отсутствуют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влияние не оказывает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влияние не оказывает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 xml:space="preserve">9.5. Оценка возможности достижения заявленных целей регулирования </w:t>
            </w:r>
            <w:r>
              <w:rPr>
                <w:rFonts w:cs="Times New Roman" w:ascii="Times New Roman" w:hAnsi="Times New Roman"/>
                <w:b/>
              </w:rPr>
              <w:t>(</w:t>
            </w:r>
            <w:hyperlink w:anchor="sub_10003">
              <w:r>
                <w:rPr>
                  <w:rFonts w:cs="Times New Roman" w:ascii="Times New Roman" w:hAnsi="Times New Roman"/>
                  <w:b/>
                  <w:color w:val="000000"/>
                  <w:sz w:val="24"/>
                  <w:szCs w:val="24"/>
                </w:rPr>
                <w:t>пункт 3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Цели не будут достигнуты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Цели будут достигнуты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5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rPr/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i/>
              </w:rPr>
              <w:t>Неблагоприятные последствия наступят</w:t>
            </w:r>
          </w:p>
        </w:tc>
        <w:tc>
          <w:tcPr>
            <w:tcW w:w="2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Неблагоприятные последствия  не наступят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677" w:type="dxa"/>
            <w:gridSpan w:val="5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8217" w:type="dxa"/>
            <w:gridSpan w:val="31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Style22"/>
              <w:ind w:firstLine="709"/>
              <w:rPr/>
            </w:pPr>
            <w:r>
              <w:rPr>
                <w:rFonts w:cs="Times New Roman" w:ascii="Times New Roman" w:hAnsi="Times New Roman"/>
                <w:b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117" w:type="dxa"/>
            <w:gridSpan w:val="33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777" w:type="dxa"/>
            <w:gridSpan w:val="3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/>
                <w:b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>
              <w:bottom w:val="single" w:sz="4" w:space="0" w:color="000000"/>
            </w:tcBorders>
          </w:tcPr>
          <w:p>
            <w:pPr>
              <w:pStyle w:val="Normal"/>
              <w:ind w:firstLine="709"/>
              <w:jc w:val="both"/>
              <w:rPr/>
            </w:pPr>
            <w:r>
              <w:rPr>
                <w:b/>
                <w:i/>
              </w:rPr>
              <w:t>Предлагаемое правовое регулирование разработано с целью предоставления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17" w:type="dxa"/>
            <w:gridSpan w:val="9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377" w:type="dxa"/>
            <w:gridSpan w:val="27"/>
            <w:tcBorders>
              <w:bottom w:val="single" w:sz="4" w:space="0" w:color="000000"/>
            </w:tcBorders>
          </w:tcPr>
          <w:p>
            <w:pPr>
              <w:pStyle w:val="Normal"/>
              <w:ind w:firstLine="709"/>
              <w:rPr/>
            </w:pPr>
            <w:r>
              <w:rPr>
                <w:b/>
                <w:i/>
              </w:rPr>
              <w:t>апрель 2023 года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2517" w:type="dxa"/>
            <w:gridSpan w:val="9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  <w:tc>
          <w:tcPr>
            <w:tcW w:w="7377" w:type="dxa"/>
            <w:gridSpan w:val="27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b/>
                <w:i/>
              </w:rPr>
              <w:t>нет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657" w:type="dxa"/>
            <w:gridSpan w:val="15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40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709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835" w:type="dxa"/>
            <w:gridSpan w:val="15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дней с даты принятия проекта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  <w:p>
            <w:pPr>
              <w:pStyle w:val="Normal"/>
              <w:rPr/>
            </w:pPr>
            <w:r>
              <w:rPr/>
              <w:t xml:space="preserve">б) отсрочка введения предлагаемого правового регулирования:________ </w:t>
              <w:tab/>
              <w:t>дней с даты принятия проекта муниципального нормативного правового акта._____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335" w:type="dxa"/>
            <w:gridSpan w:val="30"/>
            <w:tcBorders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95" w:type="dxa"/>
            <w:gridSpan w:val="5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b/>
                <w:i/>
              </w:rPr>
              <w:t>нет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8335" w:type="dxa"/>
            <w:gridSpan w:val="30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 ______ дней</w:t>
            </w:r>
          </w:p>
        </w:tc>
        <w:tc>
          <w:tcPr>
            <w:tcW w:w="1195" w:type="dxa"/>
            <w:gridSpan w:val="5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b/>
                <w:i/>
                <w:u w:val="single"/>
              </w:rPr>
              <w:t>отсутствует_______________________________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                         </w:t>
            </w: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894" w:type="dxa"/>
            <w:gridSpan w:val="36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037" w:type="dxa"/>
            <w:gridSpan w:val="17"/>
            <w:tcBorders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должности 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руководителя регулирующего органа: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Начальник управления </w:t>
            </w:r>
          </w:p>
          <w:p>
            <w:pPr>
              <w:pStyle w:val="Normal"/>
              <w:rPr/>
            </w:pPr>
            <w:r>
              <w:rPr/>
              <w:t xml:space="preserve">имущественных отношений </w:t>
            </w:r>
          </w:p>
          <w:p>
            <w:pPr>
              <w:pStyle w:val="Normal"/>
              <w:rPr/>
            </w:pPr>
            <w:r>
              <w:rPr/>
              <w:t>администрации муниципального</w:t>
            </w:r>
          </w:p>
          <w:p>
            <w:pPr>
              <w:pStyle w:val="Normal"/>
              <w:rPr/>
            </w:pPr>
            <w:r>
              <w:rPr/>
              <w:t>образования Курганинский район</w:t>
            </w:r>
          </w:p>
        </w:tc>
        <w:tc>
          <w:tcPr>
            <w:tcW w:w="4857" w:type="dxa"/>
            <w:gridSpan w:val="19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077" w:type="dxa"/>
            <w:gridSpan w:val="10"/>
            <w:tcBorders>
              <w:bottom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Е.В. Лукьяненко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0" w:type="dxa"/>
            <w:gridSpan w:val="9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77" w:type="dxa"/>
            <w:gridSpan w:val="8"/>
            <w:tcBorders>
              <w:bottom w:val="single" w:sz="4" w:space="0" w:color="000000"/>
            </w:tcBorders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/>
                <w:i/>
              </w:rPr>
            </w:r>
          </w:p>
        </w:tc>
      </w:tr>
      <w:tr>
        <w:trPr/>
        <w:tc>
          <w:tcPr>
            <w:tcW w:w="3077" w:type="dxa"/>
            <w:gridSpan w:val="10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60" w:type="dxa"/>
            <w:gridSpan w:val="7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100" w:type="dxa"/>
            <w:gridSpan w:val="9"/>
            <w:tcBorders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Style22"/>
              <w:snapToGrid w:val="false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477" w:type="dxa"/>
            <w:gridSpan w:val="8"/>
            <w:tcBorders/>
          </w:tcPr>
          <w:p>
            <w:pPr>
              <w:pStyle w:val="Style22"/>
              <w:jc w:val="center"/>
              <w:rPr/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03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396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Крюкова Елена Николаевна</w:t>
      </w:r>
    </w:p>
    <w:p>
      <w:pPr>
        <w:pStyle w:val="Normal"/>
        <w:rPr/>
      </w:pPr>
      <w:r>
        <w:rPr/>
        <w:t>+7(86147)2-39-38</w:t>
      </w:r>
    </w:p>
    <w:p>
      <w:pPr>
        <w:pStyle w:val="Normal"/>
        <w:rPr/>
      </w:pPr>
      <w:r>
        <w:rPr/>
        <w:t>Григорьева Виктория Николаевна</w:t>
      </w:r>
    </w:p>
    <w:p>
      <w:pPr>
        <w:pStyle w:val="Normal"/>
        <w:rPr/>
      </w:pPr>
      <w:r>
        <w:rPr/>
        <w:t>+7(86147)2-39-38</w:t>
      </w:r>
    </w:p>
    <w:sectPr>
      <w:type w:val="nextPage"/>
      <w:pgSz w:w="11906" w:h="16838"/>
      <w:pgMar w:left="1588" w:right="680" w:gutter="0" w:header="0" w:top="851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hd w:fill="FFFFFF" w:val="clear"/>
      <w:autoSpaceDE w:val="false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styleId="WW8Num2z0">
    <w:name w:val="WW8Num2z0"/>
    <w:qFormat/>
    <w:rPr>
      <w:rFonts w:ascii="Times New Roman" w:hAnsi="Times New Roman" w:cs="Times New Roman"/>
      <w:b/>
      <w:i/>
      <w:sz w:val="28"/>
      <w:szCs w:val="28"/>
      <w:u w:val="none"/>
    </w:rPr>
  </w:style>
  <w:style w:type="character" w:styleId="Style5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b/>
      <w:i/>
      <w:sz w:val="28"/>
      <w:szCs w:val="28"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11">
    <w:name w:val="Основной шрифт абзаца1"/>
    <w:qFormat/>
    <w:rPr/>
  </w:style>
  <w:style w:type="character" w:styleId="Style6">
    <w:name w:val="Гипертекстовая ссылка"/>
    <w:qFormat/>
    <w:rPr>
      <w:color w:val="008000"/>
      <w:sz w:val="20"/>
      <w:szCs w:val="20"/>
      <w:u w:val="single"/>
    </w:rPr>
  </w:style>
  <w:style w:type="character" w:styleId="Style7">
    <w:name w:val="Цветовое выделение"/>
    <w:qFormat/>
    <w:rPr>
      <w:b/>
      <w:color w:val="26282F"/>
    </w:rPr>
  </w:style>
  <w:style w:type="character" w:styleId="FontStyle50">
    <w:name w:val="Font Style50"/>
    <w:qFormat/>
    <w:rPr>
      <w:rFonts w:ascii="Times New Roman" w:hAnsi="Times New Roman" w:cs="Times New Roman"/>
      <w:sz w:val="16"/>
    </w:rPr>
  </w:style>
  <w:style w:type="character" w:styleId="Style8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9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0">
    <w:name w:val="Интернет-ссылка"/>
    <w:rPr>
      <w:color w:val="0000FF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2">
    <w:name w:val="Body Text"/>
    <w:basedOn w:val="Normal"/>
    <w:pPr>
      <w:jc w:val="both"/>
    </w:pPr>
    <w:rPr>
      <w:sz w:val="28"/>
      <w:szCs w:val="20"/>
    </w:rPr>
  </w:style>
  <w:style w:type="paragraph" w:styleId="Style13">
    <w:name w:val="List"/>
    <w:basedOn w:val="Style12"/>
    <w:pPr/>
    <w:rPr>
      <w:rFonts w:cs="DejaVu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12">
    <w:name w:val="Заголовок1"/>
    <w:basedOn w:val="Normal"/>
    <w:next w:val="Style12"/>
    <w:qFormat/>
    <w:pPr>
      <w:jc w:val="center"/>
    </w:pPr>
    <w:rPr>
      <w:b/>
      <w:bCs/>
      <w:sz w:val="28"/>
    </w:rPr>
  </w:style>
  <w:style w:type="paragraph" w:styleId="Style16">
    <w:name w:val="Название объекта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DejaVu Sans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">
    <w:name w:val="Основной текст 21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31">
    <w:name w:val="Основной текст 31"/>
    <w:basedOn w:val="Normal"/>
    <w:qFormat/>
    <w:pPr>
      <w:jc w:val="both"/>
    </w:pPr>
    <w:rPr>
      <w:szCs w:val="20"/>
    </w:rPr>
  </w:style>
  <w:style w:type="paragraph" w:styleId="Style21">
    <w:name w:val="Body Text Indent"/>
    <w:basedOn w:val="Normal"/>
    <w:pPr>
      <w:ind w:left="720" w:right="0" w:hanging="0"/>
      <w:jc w:val="both"/>
    </w:pPr>
    <w:rPr>
      <w:sz w:val="28"/>
      <w:szCs w:val="20"/>
    </w:rPr>
  </w:style>
  <w:style w:type="paragraph" w:styleId="15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211">
    <w:name w:val="Основной текст с отступом 21"/>
    <w:basedOn w:val="Normal"/>
    <w:qFormat/>
    <w:pPr>
      <w:ind w:left="0" w:right="0" w:firstLine="708"/>
      <w:jc w:val="both"/>
    </w:pPr>
    <w:rPr>
      <w:sz w:val="28"/>
    </w:rPr>
  </w:style>
  <w:style w:type="paragraph" w:styleId="311">
    <w:name w:val="Основной текст с отступом 31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suppressAutoHyphens w:val="true"/>
      <w:autoSpaceDE w:val="false"/>
      <w:bidi w:val="0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/>
      <w:suppressAutoHyphens w:val="tru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2">
    <w:name w:val="Нормальный (таблица)"/>
    <w:basedOn w:val="Normal"/>
    <w:next w:val="Normal"/>
    <w:qFormat/>
    <w:pPr>
      <w:widowControl w:val="false"/>
      <w:autoSpaceDE w:val="false"/>
      <w:jc w:val="both"/>
    </w:pPr>
    <w:rPr>
      <w:rFonts w:ascii="Arial" w:hAnsi="Arial" w:cs="Arial"/>
    </w:rPr>
  </w:style>
  <w:style w:type="paragraph" w:styleId="Style23">
    <w:name w:val="Прижатый влево"/>
    <w:basedOn w:val="Normal"/>
    <w:next w:val="Normal"/>
    <w:qFormat/>
    <w:pPr>
      <w:widowControl w:val="false"/>
      <w:autoSpaceDE w:val="false"/>
    </w:pPr>
    <w:rPr>
      <w:rFonts w:ascii="Arial" w:hAnsi="Arial" w:cs="Arial"/>
    </w:rPr>
  </w:style>
  <w:style w:type="paragraph" w:styleId="16">
    <w:name w:val="Схема документа1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Style24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54854.1403" TargetMode="External"/><Relationship Id="rId3" Type="http://schemas.openxmlformats.org/officeDocument/2006/relationships/hyperlink" Target="garantf1://12054854.140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LibreOffice/7.3.7.2$Linux_X86_64 LibreOffice_project/30$Build-2</Application>
  <AppVersion>15.0000</AppVersion>
  <Pages>9</Pages>
  <Words>1973</Words>
  <Characters>16016</Characters>
  <CharactersWithSpaces>18099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2023-03-28T11:09:00Z</dcterms:created>
  <dc:creator>Юля</dc:creator>
  <dc:description/>
  <cp:keywords/>
  <dc:language>ru-RU</dc:language>
  <cp:lastModifiedBy>Razumeeva</cp:lastModifiedBy>
  <cp:lastPrinted>2023-03-24T12:31:00Z</cp:lastPrinted>
  <dcterms:modified xsi:type="dcterms:W3CDTF">2023-03-28T11:09:00Z</dcterms:modified>
  <cp:revision>2</cp:revision>
  <dc:subject/>
  <dc:title> </dc:title>
</cp:coreProperties>
</file>