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16"/>
        <w:gridCol w:w="306"/>
        <w:gridCol w:w="600"/>
        <w:gridCol w:w="46"/>
        <w:gridCol w:w="382"/>
        <w:gridCol w:w="171"/>
        <w:gridCol w:w="11"/>
        <w:gridCol w:w="333"/>
        <w:gridCol w:w="587"/>
        <w:gridCol w:w="217"/>
        <w:gridCol w:w="73"/>
        <w:gridCol w:w="166"/>
        <w:gridCol w:w="409"/>
        <w:gridCol w:w="487"/>
        <w:gridCol w:w="602"/>
        <w:gridCol w:w="393"/>
        <w:gridCol w:w="563"/>
        <w:gridCol w:w="142"/>
        <w:gridCol w:w="137"/>
        <w:gridCol w:w="478"/>
        <w:gridCol w:w="307"/>
        <w:gridCol w:w="87"/>
        <w:gridCol w:w="150"/>
        <w:gridCol w:w="274"/>
        <w:gridCol w:w="108"/>
        <w:gridCol w:w="34"/>
        <w:gridCol w:w="1844"/>
        <w:gridCol w:w="121"/>
        <w:gridCol w:w="261"/>
      </w:tblGrid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8520" w:leader="none"/>
              </w:tabs>
              <w:suppressAutoHyphens w:val="true"/>
              <w:ind w:right="45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 отчёт</w:t>
            </w:r>
          </w:p>
          <w:p>
            <w:pPr>
              <w:pStyle w:val="1"/>
              <w:shd w:fill="FFFFFF" w:val="clear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 результатах проведения оценки регулирующего воздействия проекта решения Совета муниципального образования Курганинский район </w:t>
            </w:r>
            <w:r>
              <w:rPr>
                <w:iCs/>
                <w:sz w:val="24"/>
                <w:szCs w:val="24"/>
              </w:rPr>
              <w:t>«О внесении изменений в решение Совета муниципального образования Курганинский район от 22 июня 2022 г. № 189</w:t>
            </w:r>
            <w:r>
              <w:rPr>
                <w:b/>
                <w:bCs/>
                <w:iCs/>
                <w:sz w:val="24"/>
                <w:szCs w:val="24"/>
              </w:rPr>
              <w:t xml:space="preserve"> «</w:t>
            </w:r>
            <w:r>
              <w:rPr>
                <w:iCs/>
                <w:sz w:val="24"/>
                <w:szCs w:val="24"/>
              </w:rPr>
              <w:t>Об утверждении местных нормативов градостроительного проектирования Петропавловского сельского поселения Курганинского района»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Решение совета муниципального образования Курганинский район</w:t>
            </w:r>
          </w:p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«О внесении изменений в решение Совета муниципального образования Курганинский район от 22 июня 2022 г. № 189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«</w:t>
            </w:r>
            <w:r>
              <w:rPr>
                <w:rFonts w:cs="Times New Roman" w:ascii="Times New Roman" w:hAnsi="Times New Roman"/>
                <w:i/>
              </w:rPr>
              <w:t>Об утверждении местных нормативов градостроительного проектирования Петропавловского сельского поселения Курганинского района».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1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402" w:type="dxa"/>
            <w:gridSpan w:val="2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10 июня 2023 г.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1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402" w:type="dxa"/>
            <w:gridSpan w:val="2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ind w:firstLine="742"/>
              <w:rPr/>
            </w:pPr>
            <w:r>
              <w:rPr>
                <w:i/>
                <w:sz w:val="24"/>
                <w:szCs w:val="24"/>
              </w:rPr>
              <w:t xml:space="preserve">Действующие нормативы градостроительного проектирования Петропавловского сельского поселения Курганинского района  не соответствуют федеральному законодательству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42" w:leader="none"/>
              </w:tabs>
              <w:suppressAutoHyphens w:val="true"/>
              <w:ind w:right="-106" w:firstLine="600"/>
              <w:jc w:val="both"/>
              <w:rPr>
                <w:i/>
                <w:i/>
                <w:color w:val="000000"/>
              </w:rPr>
            </w:pPr>
            <w:r>
              <w:rPr>
                <w:i/>
              </w:rPr>
              <w:t xml:space="preserve">Проект разработан в целях приведения рассматриваемого нормативного-правового акта в соответствие действующему законодательству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 xml:space="preserve">приказу департамента по архитектуре и градостроительству Краснодарского края от 12 сентября 2022 г. № 222            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края»).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300"/>
              <w:ind w:left="0" w:firstLine="851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Предлагаемое правовое регулирование содержит: основная часть; материалы по обоснованию расчетных показателей, содержащихся в основной части местных нормативов градостроительного проектирования; правила и область применения расчетных показателей.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firstLine="709"/>
                    <w:rPr/>
                  </w:pPr>
                  <w:r>
                    <w:rPr>
                      <w:rFonts w:cs="Times New Roman" w:ascii="Times New Roman" w:hAnsi="Times New Roman"/>
                      <w:i/>
                    </w:rPr>
      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требования, для субъектов пред</w:t>
                  </w:r>
                  <w:r>
                    <w:rPr>
                      <w:rFonts w:cs="Times New Roman" w:ascii="Times New Roman" w:hAnsi="Times New Roman"/>
                      <w:i/>
                      <w:u w:val="single"/>
                    </w:rPr>
                    <w:t>принимательской и инвестиционной деятельности</w:t>
                  </w:r>
                  <w:r>
                    <w:rPr>
                      <w:rFonts w:cs="Times New Roman" w:ascii="Times New Roman" w:hAnsi="Times New Roman"/>
                      <w:i/>
                    </w:rPr>
                    <w:t>_____________________________________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Style20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</w:rPr>
                    <w:t>1.8. Контактная информация исполнителя в регулирующем органе: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2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8601" w:type="dxa"/>
            <w:gridSpan w:val="2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Перкин Евгений Викторович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2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6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</w:tc>
        <w:tc>
          <w:tcPr>
            <w:tcW w:w="2726" w:type="dxa"/>
            <w:gridSpan w:val="10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86147 2-88-85</w:t>
            </w:r>
          </w:p>
        </w:tc>
        <w:tc>
          <w:tcPr>
            <w:tcW w:w="3377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280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arhikurgan@mail.ru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>
                <w:sz w:val="24"/>
                <w:szCs w:val="24"/>
              </w:rPr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Действующие нормативы градостроительного проектирования Петропавловского сельского поселения Курганинского района, </w:t>
            </w:r>
            <w:r>
              <w:rPr>
                <w:i/>
                <w:sz w:val="24"/>
                <w:szCs w:val="24"/>
              </w:rPr>
              <w:t>не соответствует федеральному законодательству (приказу департамента по архитектуре и градостроительству Краснодарского края от         12 сентября 2022 г.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края»)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.</w:t>
            </w:r>
          </w:p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Предлагаемое правовое регулирование направлено на приведение нормативов градостроительного проектирования Петропавловского сельского поселения Курганинского района в соответствие.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соответствие д</w:t>
            </w:r>
            <w:r>
              <w:rPr>
                <w:rFonts w:cs="Times New Roman" w:ascii="Times New Roman" w:hAnsi="Times New Roman"/>
                <w:i/>
                <w:spacing w:val="-2"/>
              </w:rPr>
              <w:t xml:space="preserve">ействующих нормативов градостроительного проектирования Петропавловского сельского поселения Курганинского района, </w:t>
            </w:r>
            <w:r>
              <w:rPr>
                <w:rFonts w:cs="Times New Roman" w:ascii="Times New Roman" w:hAnsi="Times New Roman"/>
                <w:i/>
              </w:rPr>
              <w:t>приказу департамента по архитектуре и градостроительству Краснодарского края от 12 сентября 2022 г.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Необходимость внесения изменений в </w:t>
            </w:r>
            <w:r>
              <w:rPr>
                <w:rFonts w:cs="Times New Roman" w:ascii="Times New Roman" w:hAnsi="Times New Roman"/>
                <w:i/>
                <w:spacing w:val="-2"/>
              </w:rPr>
              <w:t>нормативы градостроительного проектирования Петропавловского сельского поселения Курганинского района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300"/>
              <w:ind w:left="0" w:firstLine="809"/>
              <w:jc w:val="both"/>
              <w:rPr>
                <w:i/>
                <w:i/>
              </w:rPr>
            </w:pPr>
            <w:r>
              <w:rPr>
                <w:i/>
              </w:rPr>
              <w:t xml:space="preserve">Негативные эффекты заключаются в невозможности </w:t>
            </w:r>
            <w:r>
              <w:rPr>
                <w:i/>
                <w:iCs/>
              </w:rPr>
              <w:t xml:space="preserve">разработки,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Петропавловского сельского поселения Курганинского района; использовании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pacing w:val="-4"/>
              </w:rPr>
              <w:t xml:space="preserve">Указанная проблема возникла в связи с несоответствием </w:t>
            </w:r>
            <w:r>
              <w:rPr>
                <w:rFonts w:cs="Times New Roman" w:ascii="Times New Roman" w:hAnsi="Times New Roman"/>
                <w:i/>
                <w:spacing w:val="-2"/>
              </w:rPr>
              <w:t>нормативов градостроительного проектирования Петропавловского сельского поселения Курганинского района</w:t>
            </w:r>
            <w:r>
              <w:rPr>
                <w:rFonts w:cs="Times New Roman" w:ascii="Times New Roman" w:hAnsi="Times New Roman"/>
                <w:i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действующему законодательству.</w:t>
            </w:r>
          </w:p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Ранее указанная проблема не возникала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42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Информационно-телекоммуникационная сеть «Интернет».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bookmarkStart w:id="0" w:name="sub_10003"/>
            <w:r>
              <w:rPr>
                <w:rFonts w:cs="Times New Roman" w:ascii="Times New Roman" w:hAnsi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0"/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1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3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Петропавловского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2023 год и все последующие</w:t>
            </w:r>
          </w:p>
        </w:tc>
        <w:tc>
          <w:tcPr>
            <w:tcW w:w="3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6254" w:type="dxa"/>
            <w:gridSpan w:val="1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6 октября 2003 года № 131-ФЗ «Об 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11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Приказ департамента по архитектуре и градостроительству Краснодарского края от 12 сентября 2022 г.      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254" w:type="dxa"/>
            <w:gridSpan w:val="1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2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Петропавловского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Style2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отсутствуют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3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shd w:fill="FFFFFF" w:val="clea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>
            <w:pPr>
              <w:pStyle w:val="1"/>
              <w:shd w:fill="FFFFFF" w:val="clear"/>
              <w:ind w:left="720" w:hanging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Петропавловского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В процессе применения расчетных показателей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rPr>
                <w:rFonts w:ascii="Times New Roman" w:hAnsi="Times New Roman" w:cs="Times New Roman"/>
              </w:rPr>
            </w:pPr>
            <w:bookmarkStart w:id="5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9" w:hRule="atLeast"/>
        </w:trPr>
        <w:tc>
          <w:tcPr>
            <w:tcW w:w="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Style"/>
                  <w:rFonts w:cs="Times New Roman" w:ascii="Times New Roman" w:hAnsi="Times New Roman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" w:hRule="atLeast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1. Функция (полномочие, обязанность или право): </w:t>
            </w:r>
            <w:r>
              <w:rPr>
                <w:rFonts w:cs="Times New Roman" w:ascii="Times New Roman" w:hAnsi="Times New Roman"/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Петропавловского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6471" w:type="dxa"/>
            <w:gridSpan w:val="1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Style"/>
                  <w:rFonts w:cs="Times New Roman" w:ascii="Times New Roman" w:hAnsi="Times New Roman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i/>
                <w:i/>
              </w:rPr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4517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невозможности </w:t>
            </w:r>
            <w:r>
              <w:rPr>
                <w:i/>
                <w:iCs/>
              </w:rPr>
              <w:t>разработки,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Петропавловского сельского поселения Курганинского района; использовании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1" w:type="dxa"/>
            <w:gridSpan w:val="16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181" w:type="dxa"/>
            <w:gridSpan w:val="1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Нарушение прав физических и юридических лиц при </w:t>
            </w:r>
            <w:bookmarkStart w:id="6" w:name="_Hlk130301600"/>
            <w:r>
              <w:rPr>
                <w:i/>
                <w:iCs/>
              </w:rPr>
              <w:t>разработке,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Петропавловского сельского поселения Курганинского района</w:t>
            </w:r>
            <w:bookmarkEnd w:id="6"/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Получение физическими и юридическими лицами при </w:t>
            </w:r>
            <w:r>
              <w:rPr>
                <w:i/>
                <w:iCs/>
              </w:rPr>
              <w:t>разработке,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Петропавловского сельского поселения Курганинского района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pacing w:val="-10"/>
              </w:rPr>
            </w:pPr>
            <w:r>
              <w:rPr>
                <w:i/>
              </w:rPr>
              <w:t>нет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Style w:val="Style"/>
                  <w:rFonts w:cs="Times New Roman" w:ascii="Times New Roman" w:hAnsi="Times New Roman"/>
                  <w:u w:val="single"/>
                </w:rPr>
                <w:t>пункт 3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cs="Times New Roman" w:ascii="Times New Roman" w:hAnsi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2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 xml:space="preserve">Предлагаемое правовое регулирование разработано с целью применения расчетных показателей при </w:t>
            </w:r>
            <w:r>
              <w:rPr>
                <w:i/>
                <w:iCs/>
              </w:rPr>
              <w:t>разработке,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Петропавловского сельского поселения Курганинского района; использовании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gridSpan w:val="8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058" w:type="dxa"/>
            <w:gridSpan w:val="1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10 июня 2023 года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gridSpan w:val="8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58" w:type="dxa"/>
            <w:gridSpan w:val="1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7" w:type="dxa"/>
            <w:gridSpan w:val="1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045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561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дней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6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6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4517" w:type="dxa"/>
            <w:gridSpan w:val="12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3452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Е.В. Перкин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0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7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0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020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37" w:type="dxa"/>
            <w:gridSpan w:val="2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260" w:type="dxa"/>
            <w:gridSpan w:val="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/>
            <w:shd w:color="auto" w:fill="auto" w:val="clear"/>
          </w:tcPr>
          <w:p>
            <w:pPr>
              <w:pStyle w:val="Normal"/>
              <w:spacing w:beforeAutospacing="1" w:after="0"/>
              <w:rPr>
                <w:rStyle w:val="Style6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  <w:tc>
          <w:tcPr>
            <w:tcW w:w="5240" w:type="dxa"/>
            <w:gridSpan w:val="14"/>
            <w:tcBorders/>
            <w:shd w:color="auto" w:fill="auto" w:val="clear"/>
          </w:tcPr>
          <w:p>
            <w:pPr>
              <w:pStyle w:val="Normal"/>
              <w:jc w:val="center"/>
              <w:rPr>
                <w:rStyle w:val="Style6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u w:val="none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1169" w:hanging="360"/>
      </w:pPr>
    </w:lvl>
    <w:lvl w:ilvl="1">
      <w:start w:val="1"/>
      <w:numFmt w:val="decimal"/>
      <w:lvlText w:val="%1.%2."/>
      <w:lvlJc w:val="left"/>
      <w:pPr>
        <w:ind w:left="1529" w:hanging="720"/>
      </w:pPr>
    </w:lvl>
    <w:lvl w:ilvl="2">
      <w:start w:val="1"/>
      <w:numFmt w:val="decimal"/>
      <w:lvlText w:val="%1.%2.%3."/>
      <w:lvlJc w:val="left"/>
      <w:pPr>
        <w:ind w:left="1529" w:hanging="720"/>
      </w:pPr>
    </w:lvl>
    <w:lvl w:ilvl="3">
      <w:start w:val="1"/>
      <w:numFmt w:val="decimal"/>
      <w:lvlText w:val="%1.%2.%3.%4."/>
      <w:lvlJc w:val="left"/>
      <w:pPr>
        <w:ind w:left="1889" w:hanging="1080"/>
      </w:pPr>
    </w:lvl>
    <w:lvl w:ilvl="4">
      <w:start w:val="1"/>
      <w:numFmt w:val="decimal"/>
      <w:lvlText w:val="%1.%2.%3.%4.%5."/>
      <w:lvlJc w:val="left"/>
      <w:pPr>
        <w:ind w:left="1889" w:hanging="1080"/>
      </w:pPr>
    </w:lvl>
    <w:lvl w:ilvl="5">
      <w:start w:val="1"/>
      <w:numFmt w:val="decimal"/>
      <w:lvlText w:val="%1.%2.%3.%4.%5.%6."/>
      <w:lvlJc w:val="left"/>
      <w:pPr>
        <w:ind w:left="2249" w:hanging="1440"/>
      </w:pPr>
    </w:lvl>
    <w:lvl w:ilvl="6">
      <w:start w:val="1"/>
      <w:numFmt w:val="decimal"/>
      <w:lvlText w:val="%1.%2.%3.%4.%5.%6.%7."/>
      <w:lvlJc w:val="left"/>
      <w:pPr>
        <w:ind w:left="2609" w:hanging="1800"/>
      </w:pPr>
    </w:lvl>
    <w:lvl w:ilvl="7">
      <w:start w:val="1"/>
      <w:numFmt w:val="decimal"/>
      <w:lvlText w:val="%1.%2.%3.%4.%5.%6.%7.%8."/>
      <w:lvlJc w:val="left"/>
      <w:pPr>
        <w:ind w:left="2609" w:hanging="1800"/>
      </w:pPr>
    </w:lvl>
    <w:lvl w:ilvl="8">
      <w:start w:val="1"/>
      <w:numFmt w:val="decimal"/>
      <w:lvlText w:val="%1.%2.%3.%4.%5.%6.%7.%8.%9."/>
      <w:lvlJc w:val="left"/>
      <w:pPr>
        <w:ind w:left="2969" w:hanging="2160"/>
      </w:pPr>
    </w:lvl>
  </w:abstractNum>
  <w:abstractNum w:abstractNumId="5">
    <w:lvl w:ilvl="0">
      <w:start w:val="1"/>
      <w:numFmt w:val="decimal"/>
      <w:lvlText w:val="%1."/>
      <w:lvlJc w:val="left"/>
      <w:pPr>
        <w:ind w:left="1169" w:hanging="360"/>
      </w:pPr>
    </w:lvl>
    <w:lvl w:ilvl="1">
      <w:start w:val="1"/>
      <w:numFmt w:val="decimal"/>
      <w:lvlText w:val="%1.%2."/>
      <w:lvlJc w:val="left"/>
      <w:pPr>
        <w:ind w:left="1529" w:hanging="720"/>
      </w:pPr>
    </w:lvl>
    <w:lvl w:ilvl="2">
      <w:start w:val="1"/>
      <w:numFmt w:val="decimal"/>
      <w:lvlText w:val="%1.%2.%3."/>
      <w:lvlJc w:val="left"/>
      <w:pPr>
        <w:ind w:left="1529" w:hanging="720"/>
      </w:pPr>
    </w:lvl>
    <w:lvl w:ilvl="3">
      <w:start w:val="1"/>
      <w:numFmt w:val="decimal"/>
      <w:lvlText w:val="%1.%2.%3.%4."/>
      <w:lvlJc w:val="left"/>
      <w:pPr>
        <w:ind w:left="1889" w:hanging="1080"/>
      </w:pPr>
    </w:lvl>
    <w:lvl w:ilvl="4">
      <w:start w:val="1"/>
      <w:numFmt w:val="decimal"/>
      <w:lvlText w:val="%1.%2.%3.%4.%5."/>
      <w:lvlJc w:val="left"/>
      <w:pPr>
        <w:ind w:left="1889" w:hanging="1080"/>
      </w:pPr>
    </w:lvl>
    <w:lvl w:ilvl="5">
      <w:start w:val="1"/>
      <w:numFmt w:val="decimal"/>
      <w:lvlText w:val="%1.%2.%3.%4.%5.%6."/>
      <w:lvlJc w:val="left"/>
      <w:pPr>
        <w:ind w:left="2249" w:hanging="1440"/>
      </w:pPr>
    </w:lvl>
    <w:lvl w:ilvl="6">
      <w:start w:val="1"/>
      <w:numFmt w:val="decimal"/>
      <w:lvlText w:val="%1.%2.%3.%4.%5.%6.%7."/>
      <w:lvlJc w:val="left"/>
      <w:pPr>
        <w:ind w:left="2609" w:hanging="1800"/>
      </w:pPr>
    </w:lvl>
    <w:lvl w:ilvl="7">
      <w:start w:val="1"/>
      <w:numFmt w:val="decimal"/>
      <w:lvlText w:val="%1.%2.%3.%4.%5.%6.%7.%8."/>
      <w:lvlJc w:val="left"/>
      <w:pPr>
        <w:ind w:left="2609" w:hanging="1800"/>
      </w:pPr>
    </w:lvl>
    <w:lvl w:ilvl="8">
      <w:start w:val="1"/>
      <w:numFmt w:val="decimal"/>
      <w:lvlText w:val="%1.%2.%3.%4.%5.%6.%7.%8.%9."/>
      <w:lvlJc w:val="left"/>
      <w:pPr>
        <w:ind w:left="2969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styleId="Style6" w:customStyle="1">
    <w:name w:val="Цветовое выделение"/>
    <w:uiPriority w:val="99"/>
    <w:qFormat/>
    <w:rsid w:val="00c01661"/>
    <w:rPr>
      <w:b/>
      <w:color w:val="26282F"/>
    </w:rPr>
  </w:style>
  <w:style w:type="character" w:styleId="FontStyle50" w:customStyle="1">
    <w:name w:val="Font Style50"/>
    <w:qFormat/>
    <w:rsid w:val="00553ee2"/>
    <w:rPr>
      <w:rFonts w:ascii="Times New Roman" w:hAnsi="Times New Roman"/>
      <w:sz w:val="16"/>
    </w:rPr>
  </w:style>
  <w:style w:type="character" w:styleId="Style7" w:customStyle="1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uiPriority w:val="99"/>
    <w:qFormat/>
    <w:rsid w:val="0030332d"/>
    <w:rPr>
      <w:sz w:val="24"/>
      <w:szCs w:val="24"/>
    </w:rPr>
  </w:style>
  <w:style w:type="character" w:styleId="Blk" w:customStyle="1">
    <w:name w:val="blk"/>
    <w:qFormat/>
    <w:rsid w:val="0089449a"/>
    <w:rPr/>
  </w:style>
  <w:style w:type="character" w:styleId="Extendedtextfull" w:customStyle="1">
    <w:name w:val="extendedtext-full"/>
    <w:basedOn w:val="DefaultParagraphFont"/>
    <w:qFormat/>
    <w:rsid w:val="00f264a7"/>
    <w:rPr/>
  </w:style>
  <w:style w:type="character" w:styleId="11" w:customStyle="1">
    <w:name w:val="Заголовок 1 Знак"/>
    <w:link w:val="1"/>
    <w:qFormat/>
    <w:rsid w:val="008b19f9"/>
    <w:rPr>
      <w:color w:val="000000"/>
      <w:sz w:val="28"/>
      <w:szCs w:val="28"/>
      <w:shd w:fill="FFFFFF" w:val="clear"/>
    </w:rPr>
  </w:style>
  <w:style w:type="character" w:styleId="Style9" w:customStyle="1">
    <w:name w:val="Интернет-ссылка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  <w:szCs w:val="20"/>
    </w:rPr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Style15">
    <w:name w:val="Title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Style19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13305d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13305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ac432f"/>
    <w:pPr>
      <w:widowControl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ac432f"/>
    <w:pPr>
      <w:widowControl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c01661"/>
    <w:pPr>
      <w:widowControl w:val="false"/>
      <w:jc w:val="both"/>
    </w:pPr>
    <w:rPr>
      <w:rFonts w:ascii="Arial" w:hAnsi="Arial" w:cs="Arial"/>
    </w:rPr>
  </w:style>
  <w:style w:type="paragraph" w:styleId="Style21" w:customStyle="1">
    <w:name w:val="Прижатый влево"/>
    <w:basedOn w:val="Normal"/>
    <w:next w:val="Normal"/>
    <w:uiPriority w:val="99"/>
    <w:qFormat/>
    <w:rsid w:val="00c01661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qFormat/>
    <w:rsid w:val="00d94a97"/>
    <w:pPr/>
    <w:rPr>
      <w:rFonts w:ascii="Segoe UI" w:hAnsi="Segoe UI" w:cs="Segoe UI"/>
      <w:sz w:val="18"/>
      <w:szCs w:val="18"/>
    </w:rPr>
  </w:style>
  <w:style w:type="paragraph" w:styleId="Style22" w:customStyle="1">
    <w:name w:val="Заголовок статьи"/>
    <w:basedOn w:val="Normal"/>
    <w:next w:val="Normal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e44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27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LibreOffice/6.3.6.2$Linux_X86_64 LibreOffice_project/30$Build-2</Application>
  <Pages>8</Pages>
  <Words>2068</Words>
  <Characters>17110</Characters>
  <CharactersWithSpaces>18976</CharactersWithSpaces>
  <Paragraphs>238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2023-04-10T11:17:00Z</dcterms:created>
  <dc:creator>Юля</dc:creator>
  <dc:description/>
  <dc:language>ru-RU</dc:language>
  <cp:lastModifiedBy>AdmKurg_UAiGSP-2</cp:lastModifiedBy>
  <cp:lastPrinted>2023-04-10T11:22:00Z</cp:lastPrinted>
  <dcterms:modified xsi:type="dcterms:W3CDTF">2023-04-10T11:31:00Z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