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970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140"/>
        <w:gridCol w:w="420"/>
        <w:gridCol w:w="280"/>
        <w:gridCol w:w="140"/>
        <w:gridCol w:w="420"/>
        <w:gridCol w:w="420"/>
        <w:gridCol w:w="560"/>
        <w:gridCol w:w="140"/>
        <w:gridCol w:w="420"/>
        <w:gridCol w:w="140"/>
        <w:gridCol w:w="462"/>
        <w:gridCol w:w="142"/>
        <w:gridCol w:w="516"/>
        <w:gridCol w:w="140"/>
        <w:gridCol w:w="140"/>
        <w:gridCol w:w="140"/>
        <w:gridCol w:w="280"/>
        <w:gridCol w:w="140"/>
        <w:gridCol w:w="61"/>
        <w:gridCol w:w="284"/>
        <w:gridCol w:w="215"/>
        <w:gridCol w:w="560"/>
        <w:gridCol w:w="75"/>
        <w:gridCol w:w="65"/>
        <w:gridCol w:w="280"/>
        <w:gridCol w:w="840"/>
        <w:gridCol w:w="30"/>
      </w:tblGrid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Сводный отчёт</w:t>
            </w:r>
          </w:p>
          <w:p>
            <w:pPr>
              <w:pStyle w:val="Normal"/>
              <w:ind w:left="0" w:right="0" w:firstLine="708"/>
              <w:jc w:val="center"/>
              <w:rPr/>
            </w:pPr>
            <w:r>
              <w:rPr>
                <w:sz w:val="28"/>
                <w:szCs w:val="28"/>
              </w:rPr>
              <w:t xml:space="preserve">о результатах проведения оценки регулирующего воздействия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проекта  постановления «Об утверждении административного регламента                                 по предоставлению муниципальной услуги ««Перевод земель или земельных участков в составе таких земель из одной категории в другую» </w:t>
            </w:r>
          </w:p>
          <w:p>
            <w:pPr>
              <w:pStyle w:val="Normal"/>
              <w:ind w:left="0" w:right="0" w:firstLine="7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 Общая информация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1.1. Регулирующий орган: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администрация муниципального образования               Курганинский район через управление имущественных отношений                       администрации муниципального образования Курганинский район.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(полное и краткое наименования)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Проект постановления администрации муниципального образования                 Курганинский район «Об утверждении административного регламента                       по предоставлению муниципальной услуги «Перевод земель или земельных участков в составе таких земель из одной категории в другую».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bCs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>
        <w:trPr/>
        <w:tc>
          <w:tcPr>
            <w:tcW w:w="2240" w:type="dxa"/>
            <w:gridSpan w:val="6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правового акта:</w:t>
            </w:r>
          </w:p>
        </w:tc>
        <w:tc>
          <w:tcPr>
            <w:tcW w:w="7700" w:type="dxa"/>
            <w:gridSpan w:val="28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март 2023 года.</w:t>
            </w:r>
          </w:p>
        </w:tc>
      </w:tr>
      <w:tr>
        <w:trPr/>
        <w:tc>
          <w:tcPr>
            <w:tcW w:w="2240" w:type="dxa"/>
            <w:gridSpan w:val="6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7700" w:type="dxa"/>
            <w:gridSpan w:val="28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(указывается дата)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Отсутствие административного регламента по предоставлению социально значимой муниципальной услуги </w:t>
            </w: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«Перевод земель или земельных участков в составе таких земель из одной категории в другую»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left="0" w:right="0" w:firstLine="709"/>
              <w:jc w:val="both"/>
              <w:rPr/>
            </w:pPr>
            <w:r>
              <w:rPr>
                <w:b/>
                <w:i/>
                <w:sz w:val="28"/>
                <w:szCs w:val="28"/>
              </w:rPr>
              <w:t xml:space="preserve">Проект нормативного правового акта разработан в целях </w:t>
            </w:r>
            <w:r>
              <w:rPr>
                <w:rFonts w:eastAsia="WenQuanYi Micro Hei;MS Gothic"/>
                <w:b/>
                <w:i/>
                <w:kern w:val="2"/>
                <w:sz w:val="28"/>
                <w:szCs w:val="28"/>
                <w:lang w:bidi="hi-IN"/>
              </w:rPr>
              <w:t xml:space="preserve">повышения качества и доступности предоставления муниципальной услуги и </w:t>
            </w:r>
            <w:r>
              <w:rPr>
                <w:rFonts w:eastAsia="DejaVu Sans;Arial"/>
                <w:b/>
                <w:i/>
                <w:kern w:val="2"/>
                <w:sz w:val="28"/>
                <w:szCs w:val="28"/>
                <w:lang w:bidi="hi-IN"/>
              </w:rPr>
              <w:t>определяет состав, последовательность, процедуры, сроки и особенности выполнения административных процедур по предоставлению муниципальной услуги «Перевод земель или земельных участков в составе таких земель из одной категории в другую»,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муниципальных служащих, должностных лиц.</w:t>
            </w:r>
            <w:r>
              <w:rPr>
                <w:rFonts w:eastAsia="WenQuanYi Micro Hei;MS Gothic"/>
                <w:b/>
                <w:i/>
                <w:kern w:val="2"/>
                <w:sz w:val="28"/>
                <w:szCs w:val="28"/>
                <w:lang w:bidi="hi-IN"/>
              </w:rPr>
              <w:t xml:space="preserve"> 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1.6. Краткое описание содержания предлагаемого правового регулирования</w:t>
            </w:r>
            <w:r>
              <w:rPr>
                <w:rFonts w:cs="Times New Roman" w:ascii="Times New Roman" w:hAnsi="Times New Roman"/>
                <w:b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Предлагаемое правовое регулирование распространяется на правоотношения, связанные с переводом земель или земельных участков в составе таких земель, государственная собственность на которые не разграничена, либо находящихся в муниципальной  или частной собственности, из одной             категории в другую, за исключением земель сельскохозяйственного назначения.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jc w:val="left"/>
              <w:rPr>
                <w:b/>
                <w:b/>
                <w:iCs/>
                <w:sz w:val="28"/>
                <w:szCs w:val="28"/>
                <w:highlight w:val="lightGray"/>
              </w:rPr>
            </w:pPr>
            <w:r>
              <w:rPr>
                <w:b/>
                <w:iCs/>
                <w:sz w:val="28"/>
                <w:szCs w:val="28"/>
                <w:highlight w:val="lightGray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                                     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1.6.1. Степень регулирующего воздействия: </w:t>
            </w:r>
            <w:r>
              <w:rPr>
                <w:b/>
                <w:sz w:val="28"/>
                <w:szCs w:val="28"/>
              </w:rPr>
              <w:t>средняя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Обоснование степени регулирующего воздействия: </w:t>
            </w:r>
            <w:r>
              <w:rPr>
                <w:b/>
                <w:i/>
                <w:sz w:val="28"/>
                <w:szCs w:val="28"/>
              </w:rPr>
              <w:t xml:space="preserve">проект муниципального  нормативного правового акта содержит положения, устанавливающие   обязательные требования, обязанности и запреты для субъектов предпринимательской и инвестиционной деятельности.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>
        <w:trPr/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8820" w:type="dxa"/>
            <w:gridSpan w:val="32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Лукьяненко Елена Владимировна</w:t>
            </w:r>
          </w:p>
        </w:tc>
      </w:tr>
      <w:tr>
        <w:trPr/>
        <w:tc>
          <w:tcPr>
            <w:tcW w:w="1680" w:type="dxa"/>
            <w:gridSpan w:val="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Должность:</w:t>
            </w:r>
          </w:p>
        </w:tc>
        <w:tc>
          <w:tcPr>
            <w:tcW w:w="8260" w:type="dxa"/>
            <w:gridSpan w:val="30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ind w:left="0" w:right="0" w:firstLine="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Начальник управления имущественных отношений администрации муниципального образования Курганинский район</w:t>
            </w:r>
          </w:p>
        </w:tc>
      </w:tr>
      <w:tr>
        <w:trPr/>
        <w:tc>
          <w:tcPr>
            <w:tcW w:w="84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86147 2-10-67</w:t>
            </w:r>
          </w:p>
        </w:tc>
        <w:tc>
          <w:tcPr>
            <w:tcW w:w="3500" w:type="dxa"/>
            <w:gridSpan w:val="11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080" w:type="dxa"/>
            <w:gridSpan w:val="12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/>
              </w:rPr>
              <w:t>k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urg_a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/>
              </w:rPr>
              <w:t>dm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@mail.ru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1"/>
              <w:shd w:fill="FFFFFF" w:val="clear"/>
              <w:rPr/>
            </w:pPr>
            <w:r>
              <w:rPr>
                <w:b/>
                <w:i/>
                <w:color w:val="000000"/>
              </w:rPr>
              <w:t xml:space="preserve">Отсутствие административного регламента по предоставлению социально значимой муниципальной услуги «Перевод земель или земельных участков </w:t>
            </w:r>
            <w:r>
              <w:rPr>
                <w:b/>
                <w:i/>
                <w:color w:val="000000"/>
                <w:u w:val="single"/>
              </w:rPr>
              <w:t>в составе таких земель из одной категории в другую»_____________________</w:t>
            </w:r>
            <w:r>
              <w:rPr>
                <w:b/>
                <w:i/>
                <w:color w:val="000000"/>
              </w:rPr>
              <w:t xml:space="preserve">   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 Формулировка проблемы: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0" w:firstLine="720"/>
              <w:jc w:val="both"/>
              <w:rPr/>
            </w:pPr>
            <w:r>
              <w:rPr>
                <w:b/>
                <w:i/>
                <w:sz w:val="28"/>
                <w:szCs w:val="28"/>
              </w:rPr>
              <w:t xml:space="preserve">Правовое регулирование указанной проблемы обусловлено необходимостью предоставления муниципальной услуги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«Перевод земель или земельных участков в составе таких земель из одной категории в другую» </w:t>
            </w:r>
            <w:r>
              <w:rPr>
                <w:b/>
                <w:i/>
                <w:sz w:val="28"/>
                <w:szCs w:val="28"/>
              </w:rPr>
              <w:t xml:space="preserve">  в соответствии с действующим законодательством.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 Информация о возникновении, выявлении проблемы и мерах, принятых                ранее для её решения, достигнутых результатах и затраченных ресурсах: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ind w:left="0" w:right="0" w:firstLine="709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Ранее указанная проблема не была урегулирована, в целях ее решения разработан проект нормативного правового акта: административный         регламент по предоставлению муниципальной услуги «Перевод земель или земельных участков в составе таких земель из одной категории в другую».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органы местного самоуправления, субъекты малого и среднего предпринимательства, физические и юридические лица.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Негативные эффекты заключаются в невозможности корректного предоставления муниципальной услуги «Перевод земель или земельных участков             в составе таких земель из одной категории в другую»  (отсутствии                   актуального порядка).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2.5. Причины возникновения проблемы и факторы, поддерживающие её существование: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Ранее указанная проблема не выявлялась, ее возникновение обусловлено        изменением действующего законодательства, отсутствием актуального  порядка ее осуществления.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ind w:left="0" w:right="0" w:firstLine="709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Указанная проблема может быть решена исключительно                   посредством принятия документа, регламентирующего проведение             процедуры.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ind w:left="0" w:right="0" w:firstLine="709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В других субъектах Российской Федерации данная проблема решена аналогичным образом.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2.8. Источники данных: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ind w:left="0" w:right="0" w:firstLine="709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Информационно-телекоммуникационная сеть «Интернет», порталы государственных и муниципальных услуг.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2.9. Иная информация о проблеме: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ind w:left="0" w:right="0" w:firstLine="709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отсутствует.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bookmarkStart w:id="0" w:name="sub_10003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0"/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2"/>
            <w:r>
              <w:rPr>
                <w:rFonts w:cs="Times New Roman" w:ascii="Times New Roman" w:hAnsi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  <w:bookmarkEnd w:id="1"/>
          </w:p>
        </w:tc>
        <w:tc>
          <w:tcPr>
            <w:tcW w:w="43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/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i/>
                <w:sz w:val="28"/>
                <w:szCs w:val="28"/>
              </w:rPr>
              <w:t xml:space="preserve">Предоставление массово социально значимой муниципальной услуги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«Перевод земель или земельных участков в составе таких земель из одной категории в другую».</w:t>
            </w:r>
          </w:p>
          <w:p>
            <w:pPr>
              <w:pStyle w:val="Style22"/>
              <w:rPr/>
            </w:pPr>
            <w:r>
              <w:rPr/>
            </w: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43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3.4. Действующие нормативные правовые акты, поручения, другие решения,     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</w:p>
        </w:tc>
      </w:tr>
      <w:tr>
        <w:trPr/>
        <w:tc>
          <w:tcPr>
            <w:tcW w:w="2380" w:type="dxa"/>
            <w:gridSpan w:val="7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указанных целей:</w:t>
            </w:r>
          </w:p>
        </w:tc>
        <w:tc>
          <w:tcPr>
            <w:tcW w:w="7560" w:type="dxa"/>
            <w:gridSpan w:val="27"/>
            <w:tcBorders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hd w:fill="FFFFFF" w:val="clear"/>
              <w:ind w:left="-102" w:right="0" w:firstLine="102"/>
              <w:rPr/>
            </w:pPr>
            <w:r>
              <w:rPr>
                <w:b/>
                <w:i/>
                <w:color w:val="000000"/>
              </w:rPr>
              <w:t>1.Федеральный закон от 27 июля 2010 г. № 210-ФЗ «Об    организации предоставления государственных                        и муниципальных услуг»</w:t>
            </w:r>
            <w:r>
              <w:rPr>
                <w:color w:val="000000"/>
              </w:rPr>
              <w:t>;</w:t>
            </w:r>
          </w:p>
          <w:p>
            <w:pPr>
              <w:pStyle w:val="1"/>
              <w:numPr>
                <w:ilvl w:val="0"/>
                <w:numId w:val="0"/>
              </w:numPr>
              <w:shd w:fill="FFFFFF" w:val="clear"/>
              <w:ind w:left="-102" w:right="0" w:firstLine="102"/>
              <w:rPr/>
            </w:pPr>
            <w:r>
              <w:rPr>
                <w:b/>
                <w:i/>
                <w:color w:val="000000"/>
              </w:rPr>
              <w:t>2</w:t>
            </w:r>
            <w:r>
              <w:rPr>
                <w:b/>
                <w:bCs/>
                <w:i/>
              </w:rPr>
              <w:t>.Земельный кодекс Российской Федерации;</w:t>
            </w:r>
          </w:p>
          <w:p>
            <w:pPr>
              <w:pStyle w:val="1"/>
              <w:numPr>
                <w:ilvl w:val="0"/>
                <w:numId w:val="0"/>
              </w:numPr>
              <w:shd w:fill="FFFFFF" w:val="clear"/>
              <w:ind w:left="-102" w:right="0" w:firstLine="102"/>
              <w:rPr/>
            </w:pPr>
            <w:r>
              <w:rPr>
                <w:b/>
                <w:i/>
                <w:color w:val="000000"/>
              </w:rPr>
              <w:t>3</w:t>
            </w:r>
            <w:r>
              <w:rPr>
                <w:b/>
                <w:bCs/>
                <w:i/>
                <w:iCs/>
              </w:rPr>
              <w:t>.Постановление Правительства Российской Федерации от 20 июля 2021 года 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      </w:r>
          </w:p>
          <w:p>
            <w:pPr>
              <w:pStyle w:val="Normal"/>
              <w:ind w:left="-102" w:right="0" w:firstLine="102"/>
              <w:rPr/>
            </w:pPr>
            <w:r>
              <w:rPr>
                <w:b/>
                <w:i/>
                <w:sz w:val="28"/>
                <w:szCs w:val="28"/>
              </w:rPr>
              <w:t>4</w:t>
            </w:r>
            <w:r>
              <w:rPr/>
              <w:t xml:space="preserve">. </w:t>
            </w:r>
            <w:r>
              <w:rPr>
                <w:b/>
                <w:bCs/>
                <w:i/>
                <w:iCs/>
                <w:sz w:val="28"/>
                <w:szCs w:val="28"/>
              </w:rPr>
              <w:t>Приказ Департамента информатизации и связи Краснодарского края от 13 июля 2021 года № 127 «Об утверждении Перечня массовых социально значимых государственных и муниципальных услуг, подлежащих переводу   в электронный формат» (с изменениями и дополнениями).</w:t>
            </w:r>
          </w:p>
        </w:tc>
      </w:tr>
      <w:tr>
        <w:trPr/>
        <w:tc>
          <w:tcPr>
            <w:tcW w:w="2380" w:type="dxa"/>
            <w:gridSpan w:val="7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</w:r>
          </w:p>
        </w:tc>
        <w:tc>
          <w:tcPr>
            <w:tcW w:w="7560" w:type="dxa"/>
            <w:gridSpan w:val="27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36"/>
            <w:r>
              <w:rPr>
                <w:rFonts w:cs="Times New Roman" w:ascii="Times New Roman" w:hAnsi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>
        <w:trPr/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i/>
                <w:sz w:val="28"/>
                <w:szCs w:val="28"/>
              </w:rPr>
              <w:t xml:space="preserve">Предоставление массовой социально значимой муниципальной услуги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«Перевод земель или земельных участков в составе таких земель из одной категории в другую».</w:t>
            </w:r>
          </w:p>
          <w:p>
            <w:pPr>
              <w:pStyle w:val="Style22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3.9. Методы расчёта индикаторов достижения целей предлагаемого правового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регулирования, источники информации для расчётов: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ind w:left="0" w:right="0" w:firstLine="709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3.10. Оценка затрат на проведение мониторинга достижения целей, предлагаемого правового регулирования: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ind w:left="0" w:right="0" w:firstLine="709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затраты отсутствуют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keepNext w:val="tru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keepNext w:val="true"/>
              <w:widowControl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54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keepNext w:val="tru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041"/>
            <w:r>
              <w:rPr>
                <w:rFonts w:cs="Times New Roman" w:ascii="Times New Roman" w:hAnsi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keepNext w:val="tru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keepNext w:val="tru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4.3. Источники данных</w:t>
            </w:r>
          </w:p>
        </w:tc>
      </w:tr>
      <w:tr>
        <w:trPr/>
        <w:tc>
          <w:tcPr>
            <w:tcW w:w="54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физические лица, в том числе зарегистрированные в качестве индивидуальных предпринимателей, юридические лица, либо их уполномоченные представители</w:t>
            </w:r>
          </w:p>
        </w:tc>
        <w:tc>
          <w:tcPr>
            <w:tcW w:w="2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2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54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sz w:val="28"/>
                <w:szCs w:val="28"/>
              </w:rPr>
              <w:t xml:space="preserve">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      </w:r>
            <w:hyperlink r:id="rId2">
              <w:r>
                <w:rPr>
                  <w:rStyle w:val="Style10"/>
                  <w:b/>
                  <w:i/>
                  <w:color w:val="000000"/>
                  <w:sz w:val="28"/>
                  <w:szCs w:val="28"/>
                  <w:u w:val="none"/>
                </w:rPr>
                <w:t>частью 3 статьи 14</w:t>
              </w:r>
            </w:hyperlink>
            <w:r>
              <w:rPr>
                <w:b/>
                <w:i/>
                <w:sz w:val="28"/>
                <w:szCs w:val="28"/>
              </w:rPr>
              <w:t xml:space="preserve"> Федерального закона от 24 июля 2007 г. № 209-ФЗ</w:t>
            </w:r>
          </w:p>
        </w:tc>
        <w:tc>
          <w:tcPr>
            <w:tcW w:w="2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2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Курганинский район, а также порядка их реализации в связи с введением предлагаемого правового регулирования: 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051"/>
            <w:r>
              <w:rPr>
                <w:rFonts w:cs="Times New Roman" w:ascii="Times New Roman" w:hAnsi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>
        <w:trPr/>
        <w:tc>
          <w:tcPr>
            <w:tcW w:w="997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hd w:fill="FFFFFF" w:val="clear"/>
              <w:rPr/>
            </w:pPr>
            <w:r>
              <w:rPr>
                <w:b/>
                <w:color w:val="000000"/>
              </w:rPr>
              <w:t xml:space="preserve">1. Наименование органа местного самоуправления: </w:t>
            </w:r>
            <w:r>
              <w:rPr>
                <w:b/>
                <w:i/>
                <w:color w:val="000000"/>
              </w:rPr>
              <w:t>Администрация муниципального образования Курганинский район</w:t>
            </w:r>
          </w:p>
        </w:tc>
      </w:tr>
      <w:tr>
        <w:trPr/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Предоставление муниципальной услуги «Перевод земель или земельных участков в со-ставе таких земель из одной категории в другую».</w:t>
            </w:r>
          </w:p>
          <w:p>
            <w:pPr>
              <w:pStyle w:val="Normal"/>
              <w:autoSpaceDE w:val="false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2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существующая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соответствии с регламентом предоставления муниципальной услуги</w:t>
            </w:r>
          </w:p>
        </w:tc>
        <w:tc>
          <w:tcPr>
            <w:tcW w:w="2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2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2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keepNext w:val="true"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06"/>
            <w:r>
              <w:rPr>
                <w:rFonts w:cs="Times New Roman" w:ascii="Times New Roman" w:hAnsi="Times New Roman"/>
                <w:sz w:val="28"/>
                <w:szCs w:val="28"/>
              </w:rPr>
              <w:t>6. Оценка дополнительных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регулирования:</w:t>
            </w:r>
            <w:bookmarkEnd w:id="5"/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keepNext w:val="true"/>
              <w:keepLines/>
              <w:widowControl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>
          <w:trHeight w:val="2069" w:hRule="atLeast"/>
        </w:trPr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 Наименование функции (полномочия, обязанности или права)</w:t>
            </w:r>
          </w:p>
          <w:p>
            <w:pPr>
              <w:pStyle w:val="Style21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(в соответствии с </w:t>
            </w:r>
            <w:hyperlink w:anchor="sub_100051">
              <w:r>
                <w:rPr>
                  <w:rStyle w:val="Style6"/>
                  <w:rFonts w:cs="Times New Roman" w:ascii="Times New Roman" w:hAnsi="Times New Roman"/>
                  <w:b/>
                  <w:color w:val="000000"/>
                  <w:sz w:val="28"/>
                  <w:szCs w:val="28"/>
                </w:rPr>
                <w:t>подпунктом 5.1 пункта 5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6.2. Виды расходов (возможных поступлений местного бюджета (бюджета муниципального образования Курганинский район)</w:t>
            </w:r>
          </w:p>
        </w:tc>
        <w:tc>
          <w:tcPr>
            <w:tcW w:w="2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>
        <w:trPr>
          <w:trHeight w:val="557" w:hRule="atLeast"/>
        </w:trPr>
        <w:tc>
          <w:tcPr>
            <w:tcW w:w="997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hd w:fill="FFFFFF" w:val="clear"/>
              <w:rPr/>
            </w:pPr>
            <w:r>
              <w:rPr>
                <w:b/>
                <w:color w:val="000000"/>
              </w:rPr>
              <w:t xml:space="preserve">Наименование органа местного самоуправления: </w:t>
            </w:r>
            <w:r>
              <w:rPr>
                <w:b/>
                <w:i/>
                <w:color w:val="000000"/>
              </w:rPr>
              <w:t>Администрация муниципального образования Курганинский район</w:t>
            </w:r>
          </w:p>
        </w:tc>
      </w:tr>
      <w:tr>
        <w:trPr>
          <w:trHeight w:val="80" w:hRule="atLeast"/>
        </w:trPr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50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i/>
                <w:sz w:val="28"/>
                <w:szCs w:val="28"/>
              </w:rPr>
              <w:t xml:space="preserve">Предоставление муниципальной услуги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«Перевод земель или земельных участков в составе таких земель из одной категории в другую».</w:t>
            </w:r>
          </w:p>
          <w:p>
            <w:pPr>
              <w:pStyle w:val="Style22"/>
              <w:rPr/>
            </w:pPr>
            <w:r>
              <w:rPr/>
            </w:r>
          </w:p>
        </w:tc>
        <w:tc>
          <w:tcPr>
            <w:tcW w:w="3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Единовременные:</w:t>
            </w:r>
          </w:p>
        </w:tc>
        <w:tc>
          <w:tcPr>
            <w:tcW w:w="2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3500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3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Периодические расходы:</w:t>
            </w:r>
          </w:p>
        </w:tc>
        <w:tc>
          <w:tcPr>
            <w:tcW w:w="2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3500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3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доходы:</w:t>
            </w:r>
          </w:p>
        </w:tc>
        <w:tc>
          <w:tcPr>
            <w:tcW w:w="2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350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единовременные:</w:t>
            </w:r>
          </w:p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периодические расходы:</w:t>
            </w:r>
          </w:p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возможные доходы:</w:t>
            </w:r>
          </w:p>
        </w:tc>
        <w:tc>
          <w:tcPr>
            <w:tcW w:w="3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2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3500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3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2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00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2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Курганинский район), возникающих в связи с введением предлагаемого правового регулирования: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Расходы бюджета отсутствуют, доходы не прогнозируются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3080" w:type="dxa"/>
            <w:gridSpan w:val="10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6860" w:type="dxa"/>
            <w:gridSpan w:val="2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 Группы потенциальных адресатов предлагаемого правового регулирования</w:t>
            </w:r>
          </w:p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(в соответствии с </w:t>
            </w:r>
            <w:hyperlink w:anchor="sub_100041">
              <w:r>
                <w:rPr>
                  <w:rStyle w:val="Style6"/>
                  <w:rFonts w:cs="Times New Roman" w:ascii="Times New Roman" w:hAnsi="Times New Roman"/>
                  <w:b/>
                  <w:color w:val="000000"/>
                  <w:sz w:val="28"/>
                  <w:szCs w:val="28"/>
                </w:rPr>
                <w:t>подпунктом 4.1 пункта 4</w:t>
              </w:r>
            </w:hyperlink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настоящего сводного отчёта)</w:t>
            </w:r>
          </w:p>
        </w:tc>
        <w:tc>
          <w:tcPr>
            <w:tcW w:w="4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>
        <w:trPr/>
        <w:tc>
          <w:tcPr>
            <w:tcW w:w="2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физические лица, в том числе зарегистрированные в качестве индивидуальных предпринимателей, юридические лица, либо их уполномоченные представители</w:t>
            </w:r>
          </w:p>
        </w:tc>
        <w:tc>
          <w:tcPr>
            <w:tcW w:w="4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noBreakHyphen/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noBreakHyphen/>
            </w:r>
          </w:p>
        </w:tc>
      </w:tr>
      <w:tr>
        <w:trPr/>
        <w:tc>
          <w:tcPr>
            <w:tcW w:w="2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i/>
                <w:sz w:val="28"/>
                <w:szCs w:val="28"/>
              </w:rPr>
              <w:t xml:space="preserve">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      </w:r>
            <w:hyperlink r:id="rId3">
              <w:r>
                <w:rPr>
                  <w:rStyle w:val="Style10"/>
                  <w:b/>
                  <w:i/>
                  <w:color w:val="000000"/>
                  <w:sz w:val="28"/>
                  <w:szCs w:val="28"/>
                  <w:u w:val="none"/>
                </w:rPr>
                <w:t>частью 3 статьи 14</w:t>
              </w:r>
            </w:hyperlink>
            <w:r>
              <w:rPr>
                <w:b/>
                <w:i/>
                <w:sz w:val="28"/>
                <w:szCs w:val="28"/>
              </w:rPr>
              <w:t xml:space="preserve"> Федерального закона от 24 июля 2007 г. № 209-ФЗ</w:t>
            </w:r>
          </w:p>
        </w:tc>
        <w:tc>
          <w:tcPr>
            <w:tcW w:w="4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-102" w:right="0" w:hanging="0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noBreakHyphen/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noBreakHyphen/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>
        <w:trPr/>
        <w:tc>
          <w:tcPr>
            <w:tcW w:w="5040" w:type="dxa"/>
            <w:gridSpan w:val="16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поддающиеся количественной оценке:</w:t>
            </w:r>
          </w:p>
        </w:tc>
        <w:tc>
          <w:tcPr>
            <w:tcW w:w="4900" w:type="dxa"/>
            <w:gridSpan w:val="18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3360" w:type="dxa"/>
            <w:gridSpan w:val="11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6580" w:type="dxa"/>
            <w:gridSpan w:val="2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8.1. Виды рисков</w:t>
            </w:r>
          </w:p>
        </w:tc>
        <w:tc>
          <w:tcPr>
            <w:tcW w:w="3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2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>
        <w:trPr/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Принятие предлагаемого правового регулирования</w:t>
            </w:r>
          </w:p>
        </w:tc>
        <w:tc>
          <w:tcPr>
            <w:tcW w:w="3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Неблагоприятные</w:t>
            </w:r>
          </w:p>
          <w:p>
            <w:pPr>
              <w:pStyle w:val="Normal"/>
              <w:rPr/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последствия</w:t>
            </w:r>
          </w:p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noBreakHyphen/>
            </w:r>
          </w:p>
        </w:tc>
        <w:tc>
          <w:tcPr>
            <w:tcW w:w="32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noBreakHyphen/>
            </w:r>
          </w:p>
        </w:tc>
      </w:tr>
      <w:tr>
        <w:trPr/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 принятие предлагаемого правового регулирования</w:t>
            </w:r>
          </w:p>
        </w:tc>
        <w:tc>
          <w:tcPr>
            <w:tcW w:w="3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Отсутствие должного правового регулирование правоотношений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noBreakHyphen/>
            </w:r>
          </w:p>
        </w:tc>
        <w:tc>
          <w:tcPr>
            <w:tcW w:w="32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noBreakHyphen/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3360" w:type="dxa"/>
            <w:gridSpan w:val="11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6580" w:type="dxa"/>
            <w:gridSpan w:val="2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3360" w:type="dxa"/>
            <w:gridSpan w:val="11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6580" w:type="dxa"/>
            <w:gridSpan w:val="23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3</w:t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 принятие предлагаемого правового регулирования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Принятие предлагаемого правового регулирования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9.4. Оценка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влияние не оказывает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влияние не оказывает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</w:t>
            </w:r>
            <w:hyperlink w:anchor="sub_10003">
              <w:r>
                <w:rPr>
                  <w:rStyle w:val="Style6"/>
                  <w:rFonts w:cs="Times New Roman" w:ascii="Times New Roman" w:hAnsi="Times New Roman"/>
                  <w:b/>
                  <w:color w:val="000000"/>
                  <w:sz w:val="28"/>
                  <w:szCs w:val="28"/>
                </w:rPr>
                <w:t>пункт 3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Цели не будут достигнуты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Цели будут достигнуты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Неблагоприятные последствия наступят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Неблагоприятные последствия  не наступят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>
        <w:trPr/>
        <w:tc>
          <w:tcPr>
            <w:tcW w:w="1680" w:type="dxa"/>
            <w:gridSpan w:val="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проблемы:</w:t>
            </w:r>
          </w:p>
        </w:tc>
        <w:tc>
          <w:tcPr>
            <w:tcW w:w="8260" w:type="dxa"/>
            <w:gridSpan w:val="30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ind w:left="0" w:right="0" w:firstLine="709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8680" w:type="dxa"/>
            <w:gridSpan w:val="30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260" w:type="dxa"/>
            <w:gridSpan w:val="4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firstLine="709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Предлагаемое правовое регулирование разработано с целью предоставления муниципальной услуги «Перевод земель или земельных участков в составе таких земель из одной категории в другую».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>
        <w:trPr/>
        <w:tc>
          <w:tcPr>
            <w:tcW w:w="2520" w:type="dxa"/>
            <w:gridSpan w:val="8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7420" w:type="dxa"/>
            <w:gridSpan w:val="26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firstLine="709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 2023 года</w:t>
            </w:r>
          </w:p>
        </w:tc>
      </w:tr>
      <w:tr>
        <w:trPr/>
        <w:tc>
          <w:tcPr>
            <w:tcW w:w="2520" w:type="dxa"/>
            <w:gridSpan w:val="8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7420" w:type="dxa"/>
            <w:gridSpan w:val="26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3920" w:type="dxa"/>
            <w:gridSpan w:val="13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а) срок переходного периода:</w:t>
            </w:r>
          </w:p>
        </w:tc>
        <w:tc>
          <w:tcPr>
            <w:tcW w:w="2142" w:type="dxa"/>
            <w:gridSpan w:val="6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709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3878" w:type="dxa"/>
            <w:gridSpan w:val="15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 с даты принятия проекта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нормативного правового акта;</w:t>
            </w:r>
          </w:p>
        </w:tc>
      </w:tr>
      <w:tr>
        <w:trPr/>
        <w:tc>
          <w:tcPr>
            <w:tcW w:w="7905" w:type="dxa"/>
            <w:gridSpan w:val="28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 отсрочка введения предлагаемого правового регулирования:</w:t>
            </w:r>
          </w:p>
        </w:tc>
        <w:tc>
          <w:tcPr>
            <w:tcW w:w="1195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даты принятия проекта муниципального нормативного правового акта.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905" w:type="dxa"/>
            <w:gridSpan w:val="28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10.3.1. Период распространения на ранее возникшие                              отношения:</w:t>
            </w:r>
          </w:p>
        </w:tc>
        <w:tc>
          <w:tcPr>
            <w:tcW w:w="1195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даты принятия проекта муниципального нормативного правового акта.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приложения (по усмотрению регулирующего органа).</w:t>
            </w:r>
          </w:p>
        </w:tc>
      </w:tr>
      <w:tr>
        <w:trPr/>
        <w:tc>
          <w:tcPr>
            <w:tcW w:w="9940" w:type="dxa"/>
            <w:gridSpan w:val="34"/>
            <w:tcBorders/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040" w:type="dxa"/>
            <w:gridSpan w:val="16"/>
            <w:tcBorders/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руководителя регулирующего органа: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Курганинский район</w:t>
            </w:r>
          </w:p>
        </w:tc>
        <w:tc>
          <w:tcPr>
            <w:tcW w:w="4900" w:type="dxa"/>
            <w:gridSpan w:val="18"/>
            <w:tcBorders/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80" w:type="dxa"/>
            <w:gridSpan w:val="10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Е.В. Лукьяненко</w:t>
            </w:r>
          </w:p>
        </w:tc>
        <w:tc>
          <w:tcPr>
            <w:tcW w:w="1960" w:type="dxa"/>
            <w:gridSpan w:val="6"/>
            <w:tcBorders/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0" w:type="dxa"/>
            <w:gridSpan w:val="8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20" w:type="dxa"/>
            <w:gridSpan w:val="9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80" w:type="dxa"/>
            <w:gridSpan w:val="10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(инициалы, фамилия)</w:t>
            </w:r>
          </w:p>
        </w:tc>
        <w:tc>
          <w:tcPr>
            <w:tcW w:w="1960" w:type="dxa"/>
            <w:gridSpan w:val="6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100" w:type="dxa"/>
            <w:gridSpan w:val="8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(дата)</w:t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520" w:type="dxa"/>
            <w:gridSpan w:val="9"/>
            <w:tcBorders/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(подпись)</w:t>
            </w:r>
          </w:p>
        </w:tc>
      </w:tr>
    </w:tbl>
    <w:p>
      <w:pPr>
        <w:pStyle w:val="Normal"/>
        <w:tabs>
          <w:tab w:val="clear" w:pos="708"/>
          <w:tab w:val="left" w:pos="239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Крюкова Елена Николаевна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+7(86147)2-39-38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Григорьева Виктория Николаевна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+7(86147)2-39-38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hd w:fill="FFFFFF" w:val="clear"/>
      <w:autoSpaceDE w:val="false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0"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i/>
      <w:sz w:val="28"/>
      <w:szCs w:val="28"/>
      <w:u w:val="none"/>
    </w:rPr>
  </w:style>
  <w:style w:type="character" w:styleId="Style5">
    <w:name w:val="Основной шрифт абзаца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b/>
      <w:i/>
      <w:sz w:val="28"/>
      <w:szCs w:val="28"/>
      <w:u w:val="non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11">
    <w:name w:val="Основной шрифт абзаца1"/>
    <w:qFormat/>
    <w:rPr/>
  </w:style>
  <w:style w:type="character" w:styleId="Style6">
    <w:name w:val="Гипертекстовая ссылка"/>
    <w:qFormat/>
    <w:rPr>
      <w:color w:val="008000"/>
      <w:sz w:val="20"/>
      <w:szCs w:val="20"/>
      <w:u w:val="single"/>
    </w:rPr>
  </w:style>
  <w:style w:type="character" w:styleId="Style7">
    <w:name w:val="Цветовое выделение"/>
    <w:qFormat/>
    <w:rPr>
      <w:b/>
      <w:color w:val="26282F"/>
    </w:rPr>
  </w:style>
  <w:style w:type="character" w:styleId="FontStyle50">
    <w:name w:val="Font Style50"/>
    <w:qFormat/>
    <w:rPr>
      <w:rFonts w:ascii="Times New Roman" w:hAnsi="Times New Roman" w:cs="Times New Roman"/>
      <w:sz w:val="16"/>
    </w:rPr>
  </w:style>
  <w:style w:type="character" w:styleId="Style8">
    <w:name w:val="Схема документа Знак"/>
    <w:qFormat/>
    <w:rPr>
      <w:rFonts w:ascii="Tahoma" w:hAnsi="Tahoma" w:cs="Tahoma"/>
      <w:sz w:val="16"/>
      <w:szCs w:val="16"/>
    </w:rPr>
  </w:style>
  <w:style w:type="character" w:styleId="Style9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0">
    <w:name w:val="Интернет-ссылка"/>
    <w:rPr>
      <w:color w:val="0000FF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12">
    <w:name w:val="Body Text"/>
    <w:basedOn w:val="Normal"/>
    <w:pPr>
      <w:jc w:val="both"/>
    </w:pPr>
    <w:rPr>
      <w:sz w:val="28"/>
      <w:szCs w:val="20"/>
    </w:rPr>
  </w:style>
  <w:style w:type="paragraph" w:styleId="Style13">
    <w:name w:val="List"/>
    <w:basedOn w:val="Style12"/>
    <w:pPr/>
    <w:rPr>
      <w:rFonts w:cs="DejaVu Sans;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ejaVu Sans"/>
    </w:rPr>
  </w:style>
  <w:style w:type="paragraph" w:styleId="12">
    <w:name w:val="Заголовок1"/>
    <w:basedOn w:val="Normal"/>
    <w:next w:val="Style12"/>
    <w:qFormat/>
    <w:pPr>
      <w:jc w:val="center"/>
    </w:pPr>
    <w:rPr>
      <w:b/>
      <w:bCs/>
      <w:sz w:val="28"/>
    </w:rPr>
  </w:style>
  <w:style w:type="paragraph" w:styleId="Style16">
    <w:name w:val="Название объекта"/>
    <w:basedOn w:val="Normal"/>
    <w:qFormat/>
    <w:pPr>
      <w:suppressLineNumbers/>
      <w:spacing w:before="120" w:after="120"/>
    </w:pPr>
    <w:rPr>
      <w:rFonts w:cs="DejaVu Sans;Ari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DejaVu Sans;Arial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21">
    <w:name w:val="Основной текст 21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31">
    <w:name w:val="Основной текст 31"/>
    <w:basedOn w:val="Normal"/>
    <w:qFormat/>
    <w:pPr>
      <w:jc w:val="both"/>
    </w:pPr>
    <w:rPr>
      <w:szCs w:val="20"/>
    </w:rPr>
  </w:style>
  <w:style w:type="paragraph" w:styleId="Style20">
    <w:name w:val="Body Text Indent"/>
    <w:basedOn w:val="Normal"/>
    <w:pPr>
      <w:ind w:left="720" w:right="0" w:hanging="0"/>
      <w:jc w:val="both"/>
    </w:pPr>
    <w:rPr>
      <w:sz w:val="28"/>
      <w:szCs w:val="20"/>
    </w:rPr>
  </w:style>
  <w:style w:type="paragraph" w:styleId="15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211">
    <w:name w:val="Основной текст с отступом 21"/>
    <w:basedOn w:val="Normal"/>
    <w:qFormat/>
    <w:pPr>
      <w:ind w:left="0" w:right="0" w:firstLine="708"/>
      <w:jc w:val="both"/>
    </w:pPr>
    <w:rPr>
      <w:sz w:val="28"/>
    </w:rPr>
  </w:style>
  <w:style w:type="paragraph" w:styleId="311">
    <w:name w:val="Основной текст с отступом 31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suppressAutoHyphens w:val="true"/>
      <w:autoSpaceDE w:val="false"/>
      <w:bidi w:val="0"/>
      <w:ind w:left="0"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autoSpaceDE w:val="false"/>
      <w:bidi w:val="0"/>
      <w:ind w:left="0" w:right="19772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1">
    <w:name w:val="Нормальный (таблица)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</w:rPr>
  </w:style>
  <w:style w:type="paragraph" w:styleId="Style22">
    <w:name w:val="Прижатый влево"/>
    <w:basedOn w:val="Normal"/>
    <w:next w:val="Normal"/>
    <w:qFormat/>
    <w:pPr>
      <w:widowControl w:val="false"/>
      <w:autoSpaceDE w:val="false"/>
    </w:pPr>
    <w:rPr>
      <w:rFonts w:ascii="Arial" w:hAnsi="Arial" w:cs="Arial"/>
    </w:rPr>
  </w:style>
  <w:style w:type="paragraph" w:styleId="16">
    <w:name w:val="Схема документа1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3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54854.1403" TargetMode="External"/><Relationship Id="rId3" Type="http://schemas.openxmlformats.org/officeDocument/2006/relationships/hyperlink" Target="garantf1://12054854.140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170</TotalTime>
  <Application>LibreOffice/6.3.6.2$Linux_X86_64 LibreOffice_project/30$Build-2</Application>
  <Pages>10</Pages>
  <Words>1842</Words>
  <Characters>14440</Characters>
  <CharactersWithSpaces>16390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2023-01-23T16:12:00Z</dcterms:created>
  <dc:creator>Юля</dc:creator>
  <dc:description/>
  <dc:language>ru-RU</dc:language>
  <cp:lastModifiedBy>Kryukova</cp:lastModifiedBy>
  <cp:lastPrinted>1995-11-21T17:41:00Z</cp:lastPrinted>
  <dcterms:modified xsi:type="dcterms:W3CDTF">2023-02-10T16:38:00Z</dcterms:modified>
  <cp:revision>122</cp:revision>
  <dc:subject/>
  <dc:title> </dc:title>
</cp:coreProperties>
</file>