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9970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140"/>
        <w:gridCol w:w="420"/>
        <w:gridCol w:w="280"/>
        <w:gridCol w:w="140"/>
        <w:gridCol w:w="420"/>
        <w:gridCol w:w="420"/>
        <w:gridCol w:w="527"/>
        <w:gridCol w:w="33"/>
        <w:gridCol w:w="140"/>
        <w:gridCol w:w="420"/>
        <w:gridCol w:w="140"/>
        <w:gridCol w:w="560"/>
        <w:gridCol w:w="44"/>
        <w:gridCol w:w="516"/>
        <w:gridCol w:w="140"/>
        <w:gridCol w:w="140"/>
        <w:gridCol w:w="140"/>
        <w:gridCol w:w="280"/>
        <w:gridCol w:w="140"/>
        <w:gridCol w:w="61"/>
        <w:gridCol w:w="219"/>
        <w:gridCol w:w="280"/>
        <w:gridCol w:w="560"/>
        <w:gridCol w:w="75"/>
        <w:gridCol w:w="65"/>
        <w:gridCol w:w="280"/>
        <w:gridCol w:w="635"/>
        <w:gridCol w:w="205"/>
        <w:gridCol w:w="10"/>
        <w:gridCol w:w="20"/>
      </w:tblGrid>
      <w:tr>
        <w:trPr/>
        <w:tc>
          <w:tcPr>
            <w:tcW w:w="9940" w:type="dxa"/>
            <w:gridSpan w:val="36"/>
            <w:tcBorders/>
          </w:tcPr>
          <w:p>
            <w:pPr>
              <w:pStyle w:val="1"/>
              <w:shd w:fill="FFFFFF" w:val="clear"/>
              <w:suppressAutoHyphens w:val="tru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fill="FFFFFF" w:val="clear"/>
              <w:suppressAutoHyphens w:val="tru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 результатах проведения оценки регулирующего воздействия проекта постановления администрации муниципального образования Курганинский район «О внесении изменений в постановление администрации муниципального образования Курганинский район от 24 декабря 2018 года № 1449 «Об утверждении административного регламента по предоставлению муниципальной услуги «Выдача разрешений на строительство, реконструкцию объектов капитального строительства»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/>
            </w:pPr>
            <w:r>
              <w:rPr>
                <w:rFonts w:cs="Times New Roman" w:ascii="Times New Roman" w:hAnsi="Times New Roman"/>
              </w:rPr>
              <w:t xml:space="preserve">1.1. 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Постановление администрации муниципального образования Курганинский район «О внесении изменений в постановление администрации муниципального образования Курганинский район от 24 декабря 2018 года № 1449 «Об утверждении административного регламента по предоставлению муниципальной услуги «Выдача разрешений на строительство, реконструкцию объектов капитального строительства»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700" w:type="dxa"/>
            <w:gridSpan w:val="30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 сентября 2022 года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2240" w:type="dxa"/>
            <w:gridSpan w:val="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700" w:type="dxa"/>
            <w:gridSpan w:val="30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left="0" w:right="0" w:firstLine="709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Приведение рассматриваемого нормативного акта соответствию постановления Правительства РФ от 20 июля 2021 г. N 1228 «Об утверждении Правил разработки и 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 признании утратившими силу некоторых актов и отдельных положений актов Правительства Российской Федерации», Приказу Министерства строительства и жилищно-коммунального хозяйства Российской Федерации от 03 июня 2022 № 446/пр «Об утверждении формы разрешения на строительство и формы разрешения на ввод объекта в эксплуатацию».</w:t>
            </w:r>
          </w:p>
          <w:p>
            <w:pPr>
              <w:pStyle w:val="Normal"/>
              <w:suppressAutoHyphens w:val="true"/>
              <w:ind w:left="0" w:right="0" w:firstLine="709"/>
              <w:jc w:val="both"/>
              <w:rPr/>
            </w:pPr>
            <w:r>
              <w:rPr>
                <w:i/>
                <w:color w:val="000000"/>
              </w:rPr>
              <w:t xml:space="preserve">В связи с вышеизложенным возникла необходимость внесения изменений в административный регламент по предоставлению муниципальной услуги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ru-RU" w:bidi="ar-SA"/>
              </w:rPr>
              <w:t>«Выдача разрешений на строительство, реконструкцию объектов капитального строительства»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suppressAutoHyphens w:val="true"/>
              <w:ind w:left="0" w:right="0" w:firstLine="709"/>
              <w:rPr>
                <w:i/>
                <w:i/>
              </w:rPr>
            </w:pPr>
            <w:r>
              <w:rPr>
                <w:i/>
              </w:rPr>
              <w:t>Проект разработан в целях реализации администрацией муниципального образования Курганинский район полномочий при предоставлении муниципальной услуги «Выдача разрешений на строительство, реконструкцию объектов капитального строительства».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/>
            </w:pPr>
            <w:r>
              <w:rPr>
                <w:rFonts w:cs="Times New Roman" w:ascii="Times New Roman" w:hAnsi="Times New Roman"/>
                <w:i/>
              </w:rPr>
              <w:t>Предлагаемое правовое регулирование содержит общие положения; стандарт предоставления;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филиалах ГАУ КК МФЦ;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 также должностных лиц или    муниципальных служащих при предоставлении муниципальной услуги «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Выдача разрешений на строительство, реконструкцию объектов капитального строительства</w:t>
            </w:r>
            <w:r>
              <w:rPr>
                <w:rFonts w:cs="Times New Roman" w:ascii="Times New Roman" w:hAnsi="Times New Roman"/>
                <w:i/>
              </w:rPr>
              <w:t>».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pacing w:lineRule="auto" w:line="252"/>
              <w:ind w:left="0" w:right="0" w:firstLine="709"/>
              <w:rPr/>
            </w:pPr>
            <w:r>
              <w:rPr>
                <w:rFonts w:cs="Times New Roman" w:ascii="Times New Roman" w:hAnsi="Times New Roman"/>
              </w:rPr>
              <w:t>1.6.1. Степень регулирующего воздействия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/>
                <w:u w:val="single"/>
              </w:rPr>
              <w:t>средняя</w:t>
            </w:r>
          </w:p>
          <w:p>
            <w:pPr>
              <w:pStyle w:val="Style24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степени регулирующего воздействия: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uppressAutoHyphens w:val="true"/>
              <w:spacing w:lineRule="auto" w:line="252"/>
              <w:ind w:left="142" w:right="0" w:firstLine="28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обязанности и запреты для субъектов предпринимательской и инвестиционной деятельности.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pacing w:lineRule="auto" w:line="25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120" w:type="dxa"/>
            <w:gridSpan w:val="2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8820" w:type="dxa"/>
            <w:gridSpan w:val="34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8260" w:type="dxa"/>
            <w:gridSpan w:val="32"/>
            <w:tcBorders>
              <w:bottom w:val="single" w:sz="4" w:space="0" w:color="000000"/>
            </w:tcBorders>
          </w:tcPr>
          <w:p>
            <w:pPr>
              <w:pStyle w:val="Style24"/>
              <w:suppressAutoHyphens w:val="true"/>
              <w:ind w:left="0" w:right="0" w:firstLine="23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40" w:type="dxa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520" w:type="dxa"/>
            <w:gridSpan w:val="10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500" w:type="dxa"/>
            <w:gridSpan w:val="12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3080" w:type="dxa"/>
            <w:gridSpan w:val="13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1"/>
              <w:shd w:fill="FFFFFF" w:val="clear"/>
              <w:suppressAutoHyphens w:val="true"/>
              <w:ind w:left="0" w:right="0" w:firstLine="993"/>
              <w:rPr/>
            </w:pPr>
            <w:r>
              <w:rPr>
                <w:i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>
              <w:rPr>
                <w:bCs/>
                <w:i/>
                <w:color w:val="000000"/>
                <w:sz w:val="24"/>
                <w:szCs w:val="24"/>
              </w:rPr>
              <w:t>Выдача разрешений на строительство, реконструкцию объектов капитального строительства</w:t>
            </w:r>
            <w:r>
              <w:rPr>
                <w:i/>
                <w:color w:val="000000"/>
                <w:sz w:val="24"/>
                <w:szCs w:val="24"/>
              </w:rPr>
              <w:t>» не соответствует действующему законодательству.</w:t>
            </w:r>
          </w:p>
          <w:p>
            <w:pPr>
              <w:pStyle w:val="1"/>
              <w:shd w:fill="FFFFFF" w:val="clear"/>
              <w:suppressAutoHyphens w:val="true"/>
              <w:ind w:left="0" w:right="0" w:firstLine="993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Предлагаемое правовое регулирование направлено на приведение административного регламента в соответствие действующему законодательству.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uppressAutoHyphens w:val="true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Правовое регулирование указанной проблемы обусловлено необходимостью предоставления муниципальной услуги «Выдача разрешений на строительство, реконструкцию объектов капитального строительства» в соответствии с действующим законодательством.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uppressAutoHyphens w:val="true"/>
              <w:ind w:left="0" w:right="0" w:firstLine="709"/>
              <w:rPr/>
            </w:pPr>
            <w:r>
              <w:rPr>
                <w:rFonts w:cs="Times New Roman" w:ascii="Times New Roman" w:hAnsi="Times New Roman"/>
                <w:i/>
              </w:rPr>
              <w:t>Необходимость внесения изменений в административный регламент по представлению муниципальной услуги «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Выдача разрешений на строительство, реконструкцию объектов капитального строительства»</w:t>
            </w:r>
            <w:r>
              <w:rPr>
                <w:rFonts w:cs="Times New Roman" w:ascii="Times New Roman" w:hAnsi="Times New Roman"/>
                <w:i/>
              </w:rPr>
              <w:t>» возникла в связи                                       с несоответствием административного регламента действующему законодательству.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Негативные эффекты заключаются в невозможности корректного предоставления муниципальной услуги «Выдача разрешений на строительство, реконструкцию объектов капитального строительства».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uppressAutoHyphens w:val="true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возникла в связи с несоответствием административного регламента предоставления муниципальной услуги действующему законодательству. Ранее указанная проблема не возникала.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«Интернет», порталы государственных и муниципальных услуг, информационная система обеспечения градостроительной деятельности администрации муниципального образования Курганинский район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bookmarkStart w:id="0" w:name="sub_10003"/>
            <w:r>
              <w:rPr>
                <w:rFonts w:cs="Times New Roman" w:ascii="Times New Roman" w:hAnsi="Times New Roman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0"/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43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uppressAutoHyphens w:val="tru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строительство, реконструкцию объектов капитального строительства».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2022 год и все последующие</w:t>
            </w:r>
          </w:p>
        </w:tc>
        <w:tc>
          <w:tcPr>
            <w:tcW w:w="43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80" w:type="dxa"/>
            <w:gridSpan w:val="7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7560" w:type="dxa"/>
            <w:gridSpan w:val="29"/>
            <w:tcBorders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0" w:right="0" w:firstLine="357"/>
              <w:rPr/>
            </w:pPr>
            <w:r>
              <w:rPr>
                <w:i/>
              </w:rPr>
              <w:t>Федеральный закон от 6 октября 2003 г. № 131-ФЗ «Об общих принципах организации местного самоуправления в 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0" w:right="0" w:firstLine="357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0" w:right="0" w:firstLine="357"/>
              <w:rPr>
                <w:i/>
                <w:i/>
              </w:rPr>
            </w:pPr>
            <w:r>
              <w:rPr>
                <w:i/>
              </w:rPr>
              <w:t>Федеральный закон от 27 июля 2010 г. № 210-ФЗ «Об организации предоставления государственных и муниципальных услуг»;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0" w:right="0" w:firstLine="357"/>
              <w:rPr>
                <w:i/>
                <w:i/>
              </w:rPr>
            </w:pPr>
            <w:r>
              <w:rPr>
                <w:i/>
              </w:rPr>
              <w:t>Постановление Правительства РФ от 20 июля 2021 г.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ind w:left="0" w:right="0" w:firstLine="357"/>
              <w:rPr>
                <w:i/>
                <w:i/>
              </w:rPr>
            </w:pPr>
            <w:r>
              <w:rPr>
                <w:i/>
              </w:rPr>
              <w:t>Приказ Министерства строительства и жилищно-коммунального хозяйства Российской Федерации от 03 июня 2022 г. № 446/пр «Об утверждении формы разрешения на строительство и формы разрешения на ввод объекта в эксплуатацию».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2380" w:type="dxa"/>
            <w:gridSpan w:val="7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7560" w:type="dxa"/>
            <w:gridSpan w:val="29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</w:tr>
      <w:tr>
        <w:trPr/>
        <w:tc>
          <w:tcPr>
            <w:tcW w:w="2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строительство, реконструкцию объектов капитального строительства».</w:t>
            </w:r>
          </w:p>
        </w:tc>
        <w:tc>
          <w:tcPr>
            <w:tcW w:w="3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затраты 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keepNext w:val="true"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</w:tr>
      <w:tr>
        <w:trPr/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5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997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hd w:fill="FFFFFF" w:val="clear"/>
              <w:rPr/>
            </w:pPr>
            <w:r>
              <w:rPr>
                <w:color w:val="000000"/>
                <w:sz w:val="24"/>
                <w:szCs w:val="24"/>
              </w:rPr>
              <w:t xml:space="preserve">1. 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/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Предоставление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1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5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keepNext w:val="true"/>
              <w:keepLines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>
          <w:trHeight w:val="2069" w:hRule="atLeast"/>
        </w:trPr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4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Fonts w:cs="Times New Roman" w:ascii="Times New Roman" w:hAnsi="Times New Roman"/>
                  <w:b/>
                  <w:sz w:val="24"/>
                  <w:szCs w:val="24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57" w:hRule="atLeast"/>
        </w:trPr>
        <w:tc>
          <w:tcPr>
            <w:tcW w:w="997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shd w:fill="FFFFFF" w:val="clear"/>
              <w:rPr/>
            </w:pPr>
            <w:r>
              <w:rPr>
                <w:color w:val="000000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>
        <w:trPr/>
        <w:tc>
          <w:tcPr>
            <w:tcW w:w="35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1. Функция (полномочие, обязанность или право): Предоставление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3500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7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6860" w:type="dxa"/>
            <w:gridSpan w:val="26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4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Fonts w:cs="Times New Roman" w:ascii="Times New Roman" w:hAnsi="Times New Roman"/>
                  <w:b/>
                  <w:sz w:val="24"/>
                  <w:szCs w:val="24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настоящего сводного отчёта)</w:t>
            </w:r>
          </w:p>
        </w:tc>
        <w:tc>
          <w:tcPr>
            <w:tcW w:w="4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4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noBreakHyphen/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noBreakHyphen/>
            </w:r>
          </w:p>
        </w:tc>
      </w:tr>
      <w:tr>
        <w:trPr/>
        <w:tc>
          <w:tcPr>
            <w:tcW w:w="2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4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noBreakHyphen/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noBreakHyphen/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4900" w:type="dxa"/>
            <w:gridSpan w:val="19"/>
            <w:tcBorders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6580" w:type="dxa"/>
            <w:gridSpan w:val="25"/>
            <w:tcBorders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32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32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</w:tr>
      <w:tr>
        <w:trPr/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Невозможность предоставления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32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6580" w:type="dxa"/>
            <w:gridSpan w:val="25"/>
            <w:tcBorders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3360" w:type="dxa"/>
            <w:gridSpan w:val="11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580" w:type="dxa"/>
            <w:gridSpan w:val="25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Нарушение прав заявителей при получении муниципальной услуги.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Получение заявителями при получении муниципальной услуги.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  <w:spacing w:val="-10"/>
              </w:rPr>
            </w:pPr>
            <w:r>
              <w:rPr>
                <w:rFonts w:cs="Times New Roman" w:ascii="Times New Roman" w:hAnsi="Times New Roman"/>
                <w:i/>
                <w:spacing w:val="-10"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</w:rPr>
              <w:t xml:space="preserve">9.5. Оценка возможности достижения заявленных целей регулирования </w:t>
            </w:r>
            <w:r>
              <w:rPr>
                <w:rFonts w:cs="Times New Roman" w:ascii="Times New Roman" w:hAnsi="Times New Roman"/>
                <w:b/>
              </w:rPr>
              <w:t>(</w:t>
            </w:r>
            <w:hyperlink w:anchor="sub_10003">
              <w:r>
                <w:rPr>
                  <w:rFonts w:cs="Times New Roman" w:ascii="Times New Roman" w:hAnsi="Times New Roman"/>
                  <w:b/>
                  <w:sz w:val="24"/>
                  <w:szCs w:val="24"/>
                </w:rPr>
                <w:t>пункт 3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62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680" w:type="dxa"/>
            <w:gridSpan w:val="4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8260" w:type="dxa"/>
            <w:gridSpan w:val="32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Style24"/>
              <w:ind w:left="0" w:right="0"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680" w:type="dxa"/>
            <w:gridSpan w:val="31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ind w:left="0" w:right="0" w:firstLine="709"/>
              <w:rPr>
                <w:i/>
                <w:i/>
              </w:rPr>
            </w:pPr>
            <w:r>
              <w:rPr>
                <w:i/>
              </w:rPr>
              <w:t>Предлагаемое правовое регулирование разработано с целью предоставления муниципальной услуги «Выдача разрешений на строительство, реконструкцию объектов капитального строительства».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520" w:type="dxa"/>
            <w:gridSpan w:val="8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420" w:type="dxa"/>
            <w:gridSpan w:val="28"/>
            <w:tcBorders>
              <w:bottom w:val="single" w:sz="4" w:space="0" w:color="000000"/>
            </w:tcBorders>
          </w:tcPr>
          <w:p>
            <w:pPr>
              <w:pStyle w:val="Normal"/>
              <w:ind w:left="0" w:right="0" w:firstLine="709"/>
              <w:rPr>
                <w:i/>
                <w:i/>
              </w:rPr>
            </w:pPr>
            <w:r>
              <w:rPr>
                <w:i/>
              </w:rPr>
              <w:t>20 сентября 2022 года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2520" w:type="dxa"/>
            <w:gridSpan w:val="8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420" w:type="dxa"/>
            <w:gridSpan w:val="28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/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920" w:type="dxa"/>
            <w:gridSpan w:val="13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24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ind w:left="0" w:right="0" w:firstLine="709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780" w:type="dxa"/>
            <w:gridSpan w:val="1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 с даты принятия проекта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0</w:t>
            </w:r>
          </w:p>
        </w:tc>
        <w:tc>
          <w:tcPr>
            <w:tcW w:w="840" w:type="dxa"/>
            <w:gridSpan w:val="2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/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840" w:type="dxa"/>
            <w:gridSpan w:val="29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>
            <w:pPr>
              <w:pStyle w:val="Style24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0</w:t>
            </w:r>
          </w:p>
        </w:tc>
        <w:tc>
          <w:tcPr>
            <w:tcW w:w="840" w:type="dxa"/>
            <w:gridSpan w:val="2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Normal"/>
              <w:ind w:left="0" w:right="0" w:firstLine="709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940" w:type="dxa"/>
            <w:gridSpan w:val="36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40" w:type="dxa"/>
            <w:gridSpan w:val="17"/>
            <w:tcBorders/>
          </w:tcPr>
          <w:p>
            <w:pPr>
              <w:pStyle w:val="Style25"/>
              <w:suppressAutoHyphens w:val="tru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900" w:type="dxa"/>
            <w:gridSpan w:val="19"/>
            <w:tcBorders/>
          </w:tcPr>
          <w:p>
            <w:pPr>
              <w:pStyle w:val="Normal"/>
              <w:suppressAutoHyphens w:val="true"/>
              <w:rPr>
                <w:i/>
                <w:i/>
              </w:rPr>
            </w:pPr>
            <w:r>
              <w:rPr>
                <w:i/>
              </w:rPr>
              <w:t xml:space="preserve">Исполняющий обязанности </w:t>
            </w:r>
          </w:p>
          <w:p>
            <w:pPr>
              <w:pStyle w:val="Normal"/>
              <w:suppressAutoHyphens w:val="true"/>
              <w:rPr>
                <w:i/>
                <w:i/>
              </w:rPr>
            </w:pPr>
            <w:r>
              <w:rPr>
                <w:i/>
              </w:rPr>
              <w:t xml:space="preserve">начальника управления архитектуры и градостроительства, главного архитектора администрации муниципального образования </w:t>
            </w:r>
          </w:p>
          <w:p>
            <w:pPr>
              <w:pStyle w:val="Normal"/>
              <w:suppressAutoHyphens w:val="true"/>
              <w:rPr>
                <w:i/>
                <w:i/>
              </w:rPr>
            </w:pPr>
            <w:r>
              <w:rPr>
                <w:i/>
              </w:rPr>
              <w:t>Курганинский район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3080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             </w:t>
            </w:r>
            <w:r>
              <w:rPr>
                <w:i/>
              </w:rPr>
              <w:t>Н.Н. Моисеева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0" w:type="dxa"/>
            <w:gridSpan w:val="8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80" w:type="dxa"/>
            <w:tcBorders/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520" w:type="dxa"/>
            <w:gridSpan w:val="10"/>
            <w:tcBorders>
              <w:bottom w:val="single" w:sz="4" w:space="0" w:color="000000"/>
            </w:tcBorders>
          </w:tcPr>
          <w:p>
            <w:pPr>
              <w:pStyle w:val="Style24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3080" w:type="dxa"/>
            <w:gridSpan w:val="10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0" w:type="dxa"/>
            <w:gridSpan w:val="8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80" w:type="dxa"/>
            <w:tcBorders/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520" w:type="dxa"/>
            <w:gridSpan w:val="10"/>
            <w:tcBorders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3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4867" w:type="dxa"/>
            <w:gridSpan w:val="15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4868" w:type="dxa"/>
            <w:gridSpan w:val="20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  <w:tc>
          <w:tcPr>
            <w:tcW w:w="215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68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/>
        <w:u w:val="none"/>
        <w:b w:val="false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fill="FFFFFF" w:val="clear"/>
      <w:autoSpaceDE w:val="false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styleId="WW8Num2z0">
    <w:name w:val="WW8Num2z0"/>
    <w:qFormat/>
    <w:rPr>
      <w:rFonts w:ascii="Times New Roman" w:hAnsi="Times New Roman" w:cs="Times New Roman"/>
      <w:b w:val="false"/>
      <w:i/>
      <w:sz w:val="28"/>
      <w:szCs w:val="28"/>
      <w:u w:val="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i/>
      <w:sz w:val="28"/>
      <w:szCs w:val="28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b/>
      <w:i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i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5">
    <w:name w:val="Основной шрифт абзаца"/>
    <w:qFormat/>
    <w:rPr/>
  </w:style>
  <w:style w:type="character" w:styleId="Style6">
    <w:name w:val="Гипертекстовая ссылка"/>
    <w:qFormat/>
    <w:rPr>
      <w:color w:val="008000"/>
      <w:sz w:val="20"/>
      <w:szCs w:val="20"/>
      <w:u w:val="single"/>
    </w:rPr>
  </w:style>
  <w:style w:type="character" w:styleId="Style7">
    <w:name w:val="Цветовое выделение"/>
    <w:qFormat/>
    <w:rPr>
      <w:b/>
      <w:color w:val="26282F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Style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9">
    <w:name w:val="Верхний колонтитул Знак"/>
    <w:qFormat/>
    <w:rPr>
      <w:sz w:val="24"/>
      <w:szCs w:val="24"/>
    </w:rPr>
  </w:style>
  <w:style w:type="character" w:styleId="Blk">
    <w:name w:val="blk"/>
    <w:qFormat/>
    <w:rPr/>
  </w:style>
  <w:style w:type="character" w:styleId="Style1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jc w:val="center"/>
    </w:pPr>
    <w:rPr>
      <w:b/>
      <w:bCs/>
      <w:sz w:val="28"/>
    </w:rPr>
  </w:style>
  <w:style w:type="paragraph" w:styleId="Style13">
    <w:name w:val="Body Text"/>
    <w:basedOn w:val="Normal"/>
    <w:pPr>
      <w:jc w:val="both"/>
    </w:pPr>
    <w:rPr>
      <w:sz w:val="28"/>
      <w:szCs w:val="20"/>
    </w:rPr>
  </w:style>
  <w:style w:type="paragraph" w:styleId="Style14">
    <w:name w:val="List"/>
    <w:basedOn w:val="Style13"/>
    <w:pPr/>
    <w:rPr>
      <w:rFonts w:cs="DejaVu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ejaVu Sans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31">
    <w:name w:val="Основной текст 3"/>
    <w:basedOn w:val="Normal"/>
    <w:qFormat/>
    <w:pPr>
      <w:jc w:val="both"/>
    </w:pPr>
    <w:rPr>
      <w:szCs w:val="20"/>
    </w:rPr>
  </w:style>
  <w:style w:type="paragraph" w:styleId="Style22">
    <w:name w:val="Body Text Indent"/>
    <w:basedOn w:val="Normal"/>
    <w:pPr>
      <w:ind w:left="720" w:right="0" w:hanging="0"/>
      <w:jc w:val="both"/>
    </w:pPr>
    <w:rPr>
      <w:sz w:val="28"/>
      <w:szCs w:val="20"/>
    </w:rPr>
  </w:style>
  <w:style w:type="paragraph" w:styleId="Style23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suppressAutoHyphens w:val="true"/>
      <w:autoSpaceDE w:val="false"/>
      <w:bidi w:val="0"/>
      <w:ind w:left="0"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4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Style25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7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cs="Arial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LibreOffice/7.3.3.2$Linux_X86_64 LibreOffice_project/30$Build-2</Application>
  <AppVersion>15.0000</AppVersion>
  <Pages>8</Pages>
  <Words>1871</Words>
  <Characters>15336</Characters>
  <CharactersWithSpaces>17020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2022-08-29T13:59:00Z</dcterms:created>
  <dc:creator>Юля</dc:creator>
  <dc:description/>
  <dc:language>ru-RU</dc:language>
  <cp:lastModifiedBy/>
  <cp:lastPrinted>1995-11-21T17:41:00Z</cp:lastPrinted>
  <dcterms:modified xsi:type="dcterms:W3CDTF">2022-09-12T15:30:18Z</dcterms:modified>
  <cp:revision>3</cp:revision>
  <dc:subject/>
  <dc:title> </dc:title>
</cp:coreProperties>
</file>